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75F95" w14:textId="77777777" w:rsidR="00CC3DBD" w:rsidRPr="00230530" w:rsidRDefault="00CC3DBD" w:rsidP="00CC3DBD">
      <w:pPr>
        <w:tabs>
          <w:tab w:val="left" w:pos="1134"/>
        </w:tabs>
        <w:jc w:val="right"/>
        <w:rPr>
          <w:rFonts w:ascii="PermianSerifTypeface" w:hAnsi="PermianSerifTypeface" w:cs="Times New Roman"/>
          <w:b/>
          <w:bCs/>
          <w:color w:val="000000" w:themeColor="text1"/>
          <w:lang w:val="ro-RO"/>
        </w:rPr>
      </w:pPr>
      <w:bookmarkStart w:id="0" w:name="_GoBack"/>
      <w:bookmarkEnd w:id="0"/>
      <w:r w:rsidRPr="00230530">
        <w:rPr>
          <w:rFonts w:ascii="PermianSerifTypeface" w:hAnsi="PermianSerifTypeface" w:cs="Times New Roman"/>
          <w:b/>
          <w:bCs/>
          <w:color w:val="000000" w:themeColor="text1"/>
          <w:lang w:val="ro-RO"/>
        </w:rPr>
        <w:t>Proiect</w:t>
      </w:r>
    </w:p>
    <w:p w14:paraId="3105DD48" w14:textId="09C75E1C" w:rsidR="00CC3DBD" w:rsidRPr="00230530" w:rsidRDefault="00CC3DBD" w:rsidP="00BD2944">
      <w:pPr>
        <w:jc w:val="center"/>
        <w:rPr>
          <w:lang w:val="ro-RO"/>
        </w:rPr>
      </w:pPr>
      <w:r w:rsidRPr="00230530">
        <w:rPr>
          <w:rFonts w:ascii="PermianSerifTypeface" w:hAnsi="PermianSerifTypeface" w:cs="Times New Roman"/>
          <w:b/>
          <w:bCs/>
          <w:color w:val="000000" w:themeColor="text1"/>
          <w:lang w:val="ro-RO"/>
        </w:rPr>
        <w:t>COMITETUL EXECUTIV</w:t>
      </w:r>
      <w:r w:rsidRPr="00230530">
        <w:rPr>
          <w:rFonts w:ascii="PermianSerifTypeface" w:hAnsi="PermianSerifTypeface" w:cs="Times New Roman"/>
          <w:b/>
          <w:bCs/>
          <w:color w:val="000000" w:themeColor="text1"/>
          <w:lang w:val="ro-RO"/>
        </w:rPr>
        <w:br/>
        <w:t>AL BĂNCII NAŢIONALE A MOLDOVEI</w:t>
      </w:r>
    </w:p>
    <w:p w14:paraId="4906EB59" w14:textId="77777777" w:rsidR="00CC3DBD" w:rsidRPr="00230530" w:rsidRDefault="00CC3DBD" w:rsidP="00CC3DBD">
      <w:pPr>
        <w:pStyle w:val="BodyText2"/>
        <w:ind w:right="-1"/>
        <w:rPr>
          <w:rFonts w:ascii="PermianSerifTypeface" w:hAnsi="PermianSerifTypeface"/>
          <w:color w:val="000000" w:themeColor="text1"/>
          <w:sz w:val="22"/>
          <w:szCs w:val="22"/>
        </w:rPr>
      </w:pPr>
    </w:p>
    <w:p w14:paraId="297F8728" w14:textId="77777777" w:rsidR="00CC3DBD" w:rsidRPr="00230530" w:rsidRDefault="00CC3DBD" w:rsidP="00CC3DBD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  <w:r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HOTĂRÂREA</w:t>
      </w:r>
    </w:p>
    <w:p w14:paraId="1C70CA7F" w14:textId="0089410E" w:rsidR="00CC3DBD" w:rsidRPr="00230530" w:rsidRDefault="00CC3DBD" w:rsidP="00CC3DBD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  <w:r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nr. ___ din __ __________ 20</w:t>
      </w:r>
      <w:r w:rsidR="00645F31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2</w:t>
      </w:r>
      <w:r w:rsidR="00814F8B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3</w:t>
      </w:r>
    </w:p>
    <w:p w14:paraId="2E15301F" w14:textId="77777777" w:rsidR="00CC3DBD" w:rsidRPr="00230530" w:rsidRDefault="00CC3DBD" w:rsidP="00CC3DBD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7DE3E1C3" w14:textId="01A1985E" w:rsidR="00CC3DBD" w:rsidRPr="00230530" w:rsidRDefault="00F72E23" w:rsidP="00CC3DBD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  <w:r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Pentru</w:t>
      </w:r>
      <w:r w:rsidR="00645F31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modificarea </w:t>
      </w:r>
      <w:r w:rsidR="00814F8B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Anexei nr. 2 a </w:t>
      </w:r>
      <w:r w:rsidR="00645F31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Hotărârii Comitetului executiv al Băncii Naționale a Moldovei nr. 180</w:t>
      </w:r>
      <w:r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/</w:t>
      </w:r>
      <w:r w:rsidR="00645F31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2019 </w:t>
      </w:r>
      <w:r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„</w:t>
      </w:r>
      <w:r w:rsidR="00CC3DBD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Privind comisioanel</w:t>
      </w:r>
      <w:r w:rsidR="000A51A1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e</w:t>
      </w:r>
      <w:r w:rsidR="007146FC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aplicate</w:t>
      </w:r>
      <w:r w:rsidR="00CC3DBD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</w:t>
      </w:r>
      <w:r w:rsidR="007146FC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pentru operațiunile de plată efectuate printr-un card de plată sau printr-un dispozitiv asemănător</w:t>
      </w:r>
      <w:r w:rsidR="00DA652B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,</w:t>
      </w:r>
      <w:r w:rsidR="00CC3DBD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comisioanel</w:t>
      </w:r>
      <w:r w:rsidR="000E1B1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e</w:t>
      </w:r>
      <w:r w:rsidR="00CC3DBD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aplicate de către prestatorii de servicii de plată pentru operațiunile de plată ce presupun utilizarea sistemului automatizat de plăți </w:t>
      </w:r>
      <w:r w:rsidR="00CC3DBD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interbancare</w:t>
      </w:r>
      <w:r w:rsidR="000E1B10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,</w:t>
      </w:r>
      <w:r w:rsidR="00DB66DA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</w:t>
      </w:r>
      <w:r w:rsidR="00B35CAB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comisioanel</w:t>
      </w:r>
      <w:r w:rsidR="000E1B10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e</w:t>
      </w:r>
      <w:r w:rsidR="00B35CAB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percepute de Banca Națională a Moldovei </w:t>
      </w:r>
      <w:r w:rsidR="00DA652B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pentru </w:t>
      </w:r>
      <w:r w:rsidR="00A822CB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plățile </w:t>
      </w:r>
      <w:r w:rsidR="00DA652B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procesa</w:t>
      </w:r>
      <w:r w:rsidR="00A822CB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t</w:t>
      </w:r>
      <w:r w:rsidR="00DA652B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e în sistemul automatizat de plăți interbancare</w:t>
      </w:r>
      <w:r w:rsidR="000E1B10" w:rsidRPr="00904F1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, precum și valoarea</w:t>
      </w:r>
      <w:r w:rsidR="000E1B10" w:rsidRPr="000E1B1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maximă a documentului de plată acceptat de sistemul de compensare cu decontare pe bază netă din partea participanților</w:t>
      </w:r>
      <w:r w:rsidR="008B0863" w:rsidRPr="00230530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”</w:t>
      </w:r>
    </w:p>
    <w:p w14:paraId="2A58E124" w14:textId="77777777" w:rsidR="00CC3DBD" w:rsidRPr="00230530" w:rsidRDefault="00CC3DBD" w:rsidP="00CC3DBD">
      <w:pPr>
        <w:pStyle w:val="BodyText2"/>
        <w:ind w:right="-1"/>
        <w:rPr>
          <w:rFonts w:ascii="PermianSerifTypeface" w:hAnsi="PermianSerifTypeface"/>
          <w:color w:val="000000" w:themeColor="text1"/>
          <w:sz w:val="22"/>
          <w:szCs w:val="22"/>
        </w:rPr>
      </w:pPr>
    </w:p>
    <w:p w14:paraId="2EC1D9C0" w14:textId="2B61DB95" w:rsidR="00CC3DBD" w:rsidRPr="00230530" w:rsidRDefault="00CC3DBD" w:rsidP="00F72E23">
      <w:pPr>
        <w:pStyle w:val="BodyText2"/>
        <w:ind w:firstLine="720"/>
        <w:jc w:val="both"/>
        <w:rPr>
          <w:rFonts w:ascii="PermianSerifTypeface" w:hAnsi="PermianSerifTypeface"/>
          <w:color w:val="000000" w:themeColor="text1"/>
          <w:sz w:val="22"/>
          <w:szCs w:val="22"/>
        </w:rPr>
      </w:pPr>
      <w:r w:rsidRPr="00230530">
        <w:rPr>
          <w:rFonts w:ascii="PermianSerifTypeface" w:hAnsi="PermianSerifTypeface"/>
          <w:color w:val="000000" w:themeColor="text1"/>
          <w:sz w:val="22"/>
          <w:szCs w:val="22"/>
        </w:rPr>
        <w:t>În temeiul art.5 alin. (1) lit. m) din Legea nr. 548/1995 cu privire la Banca Națională a Moldovei (republicată în Monitorul Oficial al Republicii Moldova, 2015, nr. 297-300, art. 544), cu modificările ulterioare,</w:t>
      </w:r>
      <w:r w:rsidR="00473774" w:rsidRPr="00230530"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Pr="00230530">
        <w:rPr>
          <w:rFonts w:ascii="PermianSerifTypeface" w:hAnsi="PermianSerifTypeface"/>
          <w:color w:val="000000" w:themeColor="text1"/>
          <w:sz w:val="22"/>
          <w:szCs w:val="22"/>
        </w:rPr>
        <w:t>art. 50 alin. (6) și (7)</w:t>
      </w:r>
      <w:r w:rsidR="006C694B"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Pr="00230530">
        <w:rPr>
          <w:rFonts w:ascii="PermianSerifTypeface" w:hAnsi="PermianSerifTypeface"/>
          <w:color w:val="000000" w:themeColor="text1"/>
          <w:sz w:val="22"/>
          <w:szCs w:val="22"/>
        </w:rPr>
        <w:t>din Legea nr. 114</w:t>
      </w:r>
      <w:r w:rsidR="00CD30C9" w:rsidRPr="00230530">
        <w:rPr>
          <w:rFonts w:ascii="PermianSerifTypeface" w:hAnsi="PermianSerifTypeface"/>
          <w:color w:val="000000" w:themeColor="text1"/>
          <w:sz w:val="22"/>
          <w:szCs w:val="22"/>
        </w:rPr>
        <w:t>/</w:t>
      </w:r>
      <w:r w:rsidRPr="00230530">
        <w:rPr>
          <w:rFonts w:ascii="PermianSerifTypeface" w:hAnsi="PermianSerifTypeface"/>
          <w:color w:val="000000" w:themeColor="text1"/>
          <w:sz w:val="22"/>
          <w:szCs w:val="22"/>
        </w:rPr>
        <w:t xml:space="preserve">2012 cu privire </w:t>
      </w:r>
      <w:r w:rsidR="00446199" w:rsidRPr="00230530">
        <w:rPr>
          <w:rFonts w:ascii="PermianSerifTypeface" w:hAnsi="PermianSerifTypeface"/>
          <w:color w:val="000000" w:themeColor="text1"/>
          <w:sz w:val="22"/>
          <w:szCs w:val="22"/>
        </w:rPr>
        <w:t xml:space="preserve">la </w:t>
      </w:r>
      <w:r w:rsidRPr="00230530">
        <w:rPr>
          <w:rFonts w:ascii="PermianSerifTypeface" w:hAnsi="PermianSerifTypeface"/>
          <w:color w:val="000000" w:themeColor="text1"/>
          <w:sz w:val="22"/>
          <w:szCs w:val="22"/>
        </w:rPr>
        <w:t>serviciile de plată și moneda electronică (Monitorul Oficial al Republicii Moldova, 2012, nr.193-197, art.661), cu modificările ulterioare</w:t>
      </w:r>
      <w:r w:rsidR="004B3163" w:rsidRPr="00230530">
        <w:rPr>
          <w:rFonts w:ascii="PermianSerifTypeface" w:hAnsi="PermianSerifTypeface"/>
          <w:sz w:val="22"/>
          <w:szCs w:val="22"/>
          <w:lang w:eastAsia="ru-RU"/>
        </w:rPr>
        <w:t>,</w:t>
      </w:r>
      <w:r w:rsidRPr="00230530">
        <w:rPr>
          <w:rFonts w:ascii="PermianSerifTypeface" w:hAnsi="PermianSerifTypeface"/>
          <w:color w:val="000000" w:themeColor="text1"/>
          <w:sz w:val="22"/>
          <w:szCs w:val="22"/>
        </w:rPr>
        <w:t xml:space="preserve"> Comitetul executiv al Băncii Naționale a Moldovei</w:t>
      </w:r>
    </w:p>
    <w:p w14:paraId="7E3C2843" w14:textId="77777777" w:rsidR="00BD2944" w:rsidRPr="00230530" w:rsidRDefault="00BD2944" w:rsidP="00CC3DBD">
      <w:pPr>
        <w:pStyle w:val="BodyText2"/>
        <w:jc w:val="both"/>
        <w:rPr>
          <w:rFonts w:ascii="PermianSerifTypeface" w:hAnsi="PermianSerifTypeface"/>
          <w:color w:val="000000" w:themeColor="text1"/>
          <w:sz w:val="22"/>
          <w:szCs w:val="22"/>
        </w:rPr>
      </w:pPr>
    </w:p>
    <w:p w14:paraId="68752596" w14:textId="77777777" w:rsidR="000C3D12" w:rsidRPr="00230530" w:rsidRDefault="000C3D12" w:rsidP="00CC3DBD">
      <w:pPr>
        <w:pStyle w:val="BodyText2"/>
        <w:jc w:val="both"/>
        <w:rPr>
          <w:rFonts w:ascii="PermianSerifTypeface" w:hAnsi="PermianSerifTypeface"/>
          <w:color w:val="000000" w:themeColor="text1"/>
          <w:sz w:val="22"/>
          <w:szCs w:val="22"/>
        </w:rPr>
      </w:pPr>
    </w:p>
    <w:p w14:paraId="2675E7EA" w14:textId="77777777" w:rsidR="006C4043" w:rsidRDefault="00CC3DBD" w:rsidP="006C4043">
      <w:pPr>
        <w:pStyle w:val="BodyText2"/>
        <w:tabs>
          <w:tab w:val="left" w:pos="1134"/>
        </w:tabs>
        <w:rPr>
          <w:rFonts w:ascii="PermianSerifTypeface" w:hAnsi="PermianSerifTypeface"/>
          <w:b/>
          <w:bCs w:val="0"/>
          <w:color w:val="000000" w:themeColor="text1"/>
          <w:sz w:val="22"/>
          <w:szCs w:val="22"/>
        </w:rPr>
      </w:pPr>
      <w:r w:rsidRPr="00230530">
        <w:rPr>
          <w:rFonts w:ascii="PermianSerifTypeface" w:hAnsi="PermianSerifTypeface"/>
          <w:b/>
          <w:bCs w:val="0"/>
          <w:color w:val="000000" w:themeColor="text1"/>
          <w:sz w:val="22"/>
          <w:szCs w:val="22"/>
        </w:rPr>
        <w:t>HOTĂRĂŞTE</w:t>
      </w:r>
    </w:p>
    <w:p w14:paraId="2CE7F49B" w14:textId="77777777" w:rsidR="006C4043" w:rsidRDefault="006C4043" w:rsidP="006C4043">
      <w:pPr>
        <w:pStyle w:val="BodyText2"/>
        <w:tabs>
          <w:tab w:val="left" w:pos="1134"/>
        </w:tabs>
        <w:rPr>
          <w:rFonts w:ascii="PermianSerifTypeface" w:hAnsi="PermianSerifTypeface"/>
          <w:b/>
          <w:bCs w:val="0"/>
          <w:color w:val="000000" w:themeColor="text1"/>
          <w:sz w:val="22"/>
          <w:szCs w:val="22"/>
        </w:rPr>
      </w:pPr>
    </w:p>
    <w:p w14:paraId="1A3373B0" w14:textId="7C39FCF8" w:rsidR="00F260DA" w:rsidRPr="006C4043" w:rsidRDefault="00672D67" w:rsidP="006C4043">
      <w:pPr>
        <w:pStyle w:val="BodyText2"/>
        <w:numPr>
          <w:ilvl w:val="0"/>
          <w:numId w:val="20"/>
        </w:numPr>
        <w:tabs>
          <w:tab w:val="left" w:pos="567"/>
        </w:tabs>
        <w:ind w:left="0" w:firstLine="360"/>
        <w:jc w:val="both"/>
        <w:rPr>
          <w:rFonts w:ascii="PermianSerifTypeface" w:hAnsi="PermianSerifTypeface"/>
          <w:b/>
          <w:bCs w:val="0"/>
          <w:color w:val="000000" w:themeColor="text1"/>
          <w:sz w:val="22"/>
          <w:szCs w:val="22"/>
        </w:rPr>
      </w:pPr>
      <w:r w:rsidRPr="00EF22C1">
        <w:rPr>
          <w:rFonts w:ascii="PermianSerifTypeface" w:hAnsi="PermianSerifTypeface"/>
          <w:color w:val="000000" w:themeColor="text1"/>
          <w:sz w:val="22"/>
          <w:szCs w:val="22"/>
        </w:rPr>
        <w:t xml:space="preserve">Hotărârea Comitetului executiv al Băncii Naționale a Moldovei nr. 180/2019 „Privind comisioanele aplicate pentru operațiunile de plată efectuate printr-un card de plată sau printr-un dispozitiv asemănător, comisioanele aplicate de către prestatorii de servicii de plată pentru operațiunile de plată ce presupun utilizarea sistemului automatizat de plăți interbancare, comisioanele percepute de Banca Națională a Moldovei pentru plățile procesate în sistemul automatizat de plăți interbancare, precum și valoarea maximă a documentului de plată acceptat de sistemul de compensare cu decontare pe bază netă din partea participanților” (Monitorul Oficial al Republicii Moldova, 2019, nr. 223-229, art. 1271), înregistrată la Ministerul </w:t>
      </w:r>
      <w:r w:rsidR="00D06FD8" w:rsidRPr="00EF22C1">
        <w:rPr>
          <w:rFonts w:ascii="PermianSerifTypeface" w:hAnsi="PermianSerifTypeface"/>
          <w:color w:val="000000" w:themeColor="text1"/>
          <w:sz w:val="22"/>
          <w:szCs w:val="22"/>
        </w:rPr>
        <w:t>Justiției</w:t>
      </w:r>
      <w:r w:rsidRPr="00EF22C1">
        <w:rPr>
          <w:rFonts w:ascii="PermianSerifTypeface" w:hAnsi="PermianSerifTypeface"/>
          <w:color w:val="000000" w:themeColor="text1"/>
          <w:sz w:val="22"/>
          <w:szCs w:val="22"/>
        </w:rPr>
        <w:t xml:space="preserve"> al Republicii Moldova cu nr. 1471 din 5 iulie 2019, </w:t>
      </w:r>
      <w:r w:rsidR="006B5E7E" w:rsidRPr="00230530">
        <w:rPr>
          <w:rFonts w:ascii="PermianSerifTypeface" w:hAnsi="PermianSerifTypeface"/>
          <w:color w:val="000000" w:themeColor="text1"/>
          <w:sz w:val="22"/>
          <w:szCs w:val="22"/>
        </w:rPr>
        <w:t>se modifică după cum urmează</w:t>
      </w:r>
      <w:r w:rsidR="003536EB" w:rsidRPr="00230530">
        <w:rPr>
          <w:rFonts w:ascii="PermianSerifTypeface" w:hAnsi="PermianSerifTypeface"/>
          <w:color w:val="000000" w:themeColor="text1"/>
          <w:sz w:val="22"/>
          <w:szCs w:val="22"/>
        </w:rPr>
        <w:t>:</w:t>
      </w:r>
    </w:p>
    <w:p w14:paraId="0C9A9ADC" w14:textId="1B27120B" w:rsidR="006C4043" w:rsidRDefault="006C4043" w:rsidP="006C4043">
      <w:pPr>
        <w:pStyle w:val="BodyText2"/>
        <w:numPr>
          <w:ilvl w:val="0"/>
          <w:numId w:val="21"/>
        </w:numPr>
        <w:tabs>
          <w:tab w:val="left" w:pos="567"/>
        </w:tabs>
        <w:ind w:left="0" w:firstLine="360"/>
        <w:jc w:val="both"/>
        <w:rPr>
          <w:rFonts w:ascii="PermianSerifTypeface" w:hAnsi="PermianSerifTypeface"/>
          <w:color w:val="000000" w:themeColor="text1"/>
          <w:sz w:val="22"/>
          <w:szCs w:val="22"/>
        </w:rPr>
      </w:pPr>
      <w:r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Pr="006C4043">
        <w:rPr>
          <w:rFonts w:ascii="PermianSerifTypeface" w:hAnsi="PermianSerifTypeface"/>
          <w:color w:val="000000" w:themeColor="text1"/>
          <w:sz w:val="22"/>
          <w:szCs w:val="22"/>
        </w:rPr>
        <w:t>Denumirea hotărârii va avea următorul cuprins: „Hotărârea Comitetului executiv al Băncii Naționale a Moldovei nr. 180/2019 privind comisioanele aplicate pentru operațiunile de plată efectuate printr-un card de plată sau printr-un dispozitiv asemănător, comisioanele aplicate de către prestatorii de servicii de plată pentru operațiunile de plată ce presupun utilizar</w:t>
      </w:r>
      <w:r w:rsidR="00FB560A">
        <w:rPr>
          <w:rFonts w:ascii="PermianSerifTypeface" w:hAnsi="PermianSerifTypeface"/>
          <w:color w:val="000000" w:themeColor="text1"/>
          <w:sz w:val="22"/>
          <w:szCs w:val="22"/>
        </w:rPr>
        <w:t>ea</w:t>
      </w:r>
      <w:r w:rsidRPr="006C4043"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="0013376C" w:rsidRPr="0013376C">
        <w:rPr>
          <w:rFonts w:ascii="PermianSerifTypeface" w:hAnsi="PermianSerifTypeface"/>
          <w:color w:val="000000" w:themeColor="text1"/>
          <w:sz w:val="22"/>
          <w:szCs w:val="22"/>
        </w:rPr>
        <w:t>sistemului automatizat de plăți inter</w:t>
      </w:r>
      <w:r w:rsidR="0013376C">
        <w:rPr>
          <w:rFonts w:ascii="PermianSerifTypeface" w:hAnsi="PermianSerifTypeface"/>
          <w:color w:val="000000" w:themeColor="text1"/>
          <w:sz w:val="22"/>
          <w:szCs w:val="22"/>
        </w:rPr>
        <w:t>ne</w:t>
      </w:r>
      <w:r w:rsidR="00FB560A">
        <w:rPr>
          <w:rFonts w:ascii="PermianSerifTypeface" w:hAnsi="PermianSerifTypeface"/>
          <w:color w:val="000000" w:themeColor="text1"/>
          <w:sz w:val="22"/>
          <w:szCs w:val="22"/>
        </w:rPr>
        <w:t>,</w:t>
      </w:r>
      <w:r w:rsidRPr="006C4043">
        <w:rPr>
          <w:rFonts w:ascii="PermianSerifTypeface" w:hAnsi="PermianSerifTypeface"/>
          <w:color w:val="000000" w:themeColor="text1"/>
          <w:sz w:val="22"/>
          <w:szCs w:val="22"/>
        </w:rPr>
        <w:t xml:space="preserve"> comisioanele percepute de Banca Națională a Moldove</w:t>
      </w:r>
      <w:r w:rsidR="00FB560A">
        <w:rPr>
          <w:rFonts w:ascii="PermianSerifTypeface" w:hAnsi="PermianSerifTypeface"/>
          <w:color w:val="000000" w:themeColor="text1"/>
          <w:sz w:val="22"/>
          <w:szCs w:val="22"/>
        </w:rPr>
        <w:t>i</w:t>
      </w:r>
      <w:r w:rsidRPr="006C4043"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Pr="0013376C">
        <w:rPr>
          <w:rFonts w:ascii="PermianSerifTypeface" w:hAnsi="PermianSerifTypeface"/>
          <w:color w:val="000000" w:themeColor="text1"/>
          <w:sz w:val="22"/>
          <w:szCs w:val="22"/>
        </w:rPr>
        <w:t>pentru plățile procesat</w:t>
      </w:r>
      <w:r w:rsidR="00FB560A" w:rsidRPr="0013376C">
        <w:rPr>
          <w:rFonts w:ascii="PermianSerifTypeface" w:hAnsi="PermianSerifTypeface"/>
          <w:color w:val="000000" w:themeColor="text1"/>
          <w:sz w:val="22"/>
          <w:szCs w:val="22"/>
        </w:rPr>
        <w:t>e</w:t>
      </w:r>
      <w:r w:rsidRPr="0013376C"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="0013376C" w:rsidRPr="0013376C">
        <w:rPr>
          <w:rFonts w:ascii="PermianSerifTypeface" w:hAnsi="PermianSerifTypeface"/>
          <w:color w:val="000000" w:themeColor="text1"/>
          <w:sz w:val="22"/>
          <w:szCs w:val="22"/>
        </w:rPr>
        <w:t>în sistemul automatizat de plăți inter</w:t>
      </w:r>
      <w:r w:rsidR="0013376C">
        <w:rPr>
          <w:rFonts w:ascii="PermianSerifTypeface" w:hAnsi="PermianSerifTypeface"/>
          <w:color w:val="000000" w:themeColor="text1"/>
          <w:sz w:val="22"/>
          <w:szCs w:val="22"/>
        </w:rPr>
        <w:t>ne</w:t>
      </w:r>
      <w:r w:rsidRPr="006C4043">
        <w:rPr>
          <w:rFonts w:ascii="PermianSerifTypeface" w:hAnsi="PermianSerifTypeface"/>
          <w:color w:val="000000" w:themeColor="text1"/>
          <w:sz w:val="22"/>
          <w:szCs w:val="22"/>
        </w:rPr>
        <w:t>, precum și valoarea maximă a documentului de plată acceptat de sistemul de compensare cu decontare pe bază netă</w:t>
      </w:r>
      <w:r w:rsidR="00695235"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="00695235" w:rsidRPr="0013376C">
        <w:rPr>
          <w:rFonts w:ascii="PermianSerifTypeface" w:hAnsi="PermianSerifTypeface"/>
          <w:color w:val="000000" w:themeColor="text1"/>
          <w:sz w:val="22"/>
          <w:szCs w:val="22"/>
        </w:rPr>
        <w:t xml:space="preserve">și de sistemul </w:t>
      </w:r>
      <w:r w:rsidR="00426735" w:rsidRPr="0013376C">
        <w:rPr>
          <w:rFonts w:ascii="PermianSerifTypeface" w:hAnsi="PermianSerifTypeface"/>
          <w:color w:val="000000" w:themeColor="text1"/>
          <w:sz w:val="22"/>
          <w:szCs w:val="22"/>
        </w:rPr>
        <w:t xml:space="preserve">de plăți </w:t>
      </w:r>
      <w:r w:rsidR="00695235" w:rsidRPr="0013376C">
        <w:rPr>
          <w:rFonts w:ascii="PermianSerifTypeface" w:hAnsi="PermianSerifTypeface"/>
          <w:color w:val="000000" w:themeColor="text1"/>
          <w:sz w:val="22"/>
          <w:szCs w:val="22"/>
        </w:rPr>
        <w:t>instant</w:t>
      </w:r>
      <w:r w:rsidRPr="006C4043">
        <w:rPr>
          <w:rFonts w:ascii="PermianSerifTypeface" w:hAnsi="PermianSerifTypeface"/>
          <w:color w:val="000000" w:themeColor="text1"/>
          <w:sz w:val="22"/>
          <w:szCs w:val="22"/>
        </w:rPr>
        <w:t xml:space="preserve"> din partea participanților”;</w:t>
      </w:r>
    </w:p>
    <w:p w14:paraId="0502B231" w14:textId="2BEC792B" w:rsidR="00760591" w:rsidRDefault="006D2AC4" w:rsidP="00FC0EC9">
      <w:pPr>
        <w:pStyle w:val="BodyText2"/>
        <w:numPr>
          <w:ilvl w:val="0"/>
          <w:numId w:val="21"/>
        </w:numPr>
        <w:tabs>
          <w:tab w:val="left" w:pos="567"/>
        </w:tabs>
        <w:ind w:left="0" w:firstLine="360"/>
        <w:jc w:val="both"/>
        <w:rPr>
          <w:rFonts w:ascii="PermianSerifTypeface" w:hAnsi="PermianSerifTypeface"/>
          <w:color w:val="000000" w:themeColor="text1"/>
          <w:sz w:val="22"/>
          <w:szCs w:val="22"/>
        </w:rPr>
      </w:pPr>
      <w:r>
        <w:rPr>
          <w:rFonts w:ascii="PermianSerifTypeface" w:hAnsi="PermianSerifTypeface"/>
          <w:color w:val="000000" w:themeColor="text1"/>
          <w:sz w:val="22"/>
          <w:szCs w:val="22"/>
        </w:rPr>
        <w:t xml:space="preserve"> </w:t>
      </w:r>
      <w:r w:rsidR="006C4043" w:rsidRPr="00760591">
        <w:rPr>
          <w:rFonts w:ascii="PermianSerifTypeface" w:hAnsi="PermianSerifTypeface"/>
          <w:color w:val="000000" w:themeColor="text1"/>
          <w:sz w:val="22"/>
          <w:szCs w:val="22"/>
        </w:rPr>
        <w:t>Anexa nr. 2 va avea următorul cuprins:</w:t>
      </w:r>
    </w:p>
    <w:p w14:paraId="25BBD221" w14:textId="77777777" w:rsidR="00FC0EC9" w:rsidRPr="00FC0EC9" w:rsidRDefault="00FC0EC9" w:rsidP="00FC0EC9">
      <w:pPr>
        <w:pStyle w:val="BodyText2"/>
        <w:tabs>
          <w:tab w:val="left" w:pos="567"/>
        </w:tabs>
        <w:ind w:left="360"/>
        <w:jc w:val="both"/>
        <w:rPr>
          <w:rFonts w:ascii="PermianSerifTypeface" w:hAnsi="PermianSerifTypeface"/>
          <w:color w:val="000000" w:themeColor="text1"/>
          <w:sz w:val="22"/>
          <w:szCs w:val="22"/>
        </w:rPr>
      </w:pPr>
    </w:p>
    <w:p w14:paraId="1DB15683" w14:textId="0E94FEE1" w:rsidR="00CC3DBD" w:rsidRPr="00230530" w:rsidRDefault="00F72E23" w:rsidP="00F72E23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/>
        <w:jc w:val="right"/>
        <w:rPr>
          <w:rFonts w:ascii="PermianSerifTypeface" w:hAnsi="PermianSerifTypeface"/>
          <w:color w:val="000000" w:themeColor="text1"/>
          <w:lang w:val="ro-RO"/>
        </w:rPr>
      </w:pPr>
      <w:r w:rsidRPr="00230530">
        <w:rPr>
          <w:rFonts w:ascii="PermianSerifTypeface" w:hAnsi="PermianSerifTypeface"/>
          <w:bCs/>
          <w:color w:val="000000" w:themeColor="text1"/>
          <w:lang w:val="ro-RO"/>
        </w:rPr>
        <w:t>„</w:t>
      </w:r>
      <w:r w:rsidR="003536EB" w:rsidRPr="00230530">
        <w:rPr>
          <w:rFonts w:ascii="PermianSerifTypeface" w:hAnsi="PermianSerifTypeface"/>
          <w:b/>
          <w:color w:val="000000" w:themeColor="text1"/>
          <w:lang w:val="ro-RO"/>
        </w:rPr>
        <w:t>A</w:t>
      </w:r>
      <w:r w:rsidR="00CC3DBD" w:rsidRPr="00230530">
        <w:rPr>
          <w:rFonts w:ascii="PermianSerifTypeface" w:hAnsi="PermianSerifTypeface"/>
          <w:b/>
          <w:color w:val="000000" w:themeColor="text1"/>
          <w:lang w:val="ro-RO"/>
        </w:rPr>
        <w:t>nexa nr.</w:t>
      </w:r>
      <w:r w:rsidR="003536EB" w:rsidRPr="00230530">
        <w:rPr>
          <w:rFonts w:ascii="PermianSerifTypeface" w:hAnsi="PermianSerifTypeface"/>
          <w:b/>
          <w:color w:val="000000" w:themeColor="text1"/>
          <w:lang w:val="ro-RO"/>
        </w:rPr>
        <w:t xml:space="preserve"> </w:t>
      </w:r>
      <w:r w:rsidR="00CC3DBD" w:rsidRPr="00230530">
        <w:rPr>
          <w:rFonts w:ascii="PermianSerifTypeface" w:hAnsi="PermianSerifTypeface"/>
          <w:b/>
          <w:color w:val="000000" w:themeColor="text1"/>
          <w:lang w:val="ro-RO"/>
        </w:rPr>
        <w:t>2</w:t>
      </w:r>
    </w:p>
    <w:p w14:paraId="3EE1C1B3" w14:textId="77777777" w:rsidR="00672D67" w:rsidRDefault="00CC3DBD" w:rsidP="00672D67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o-RO"/>
        </w:rPr>
      </w:pPr>
      <w:r w:rsidRPr="00230530">
        <w:rPr>
          <w:rFonts w:ascii="PermianSerifTypeface" w:hAnsi="PermianSerifTypeface" w:cs="Times New Roman"/>
          <w:color w:val="000000" w:themeColor="text1"/>
          <w:lang w:val="ro-RO"/>
        </w:rPr>
        <w:t>la Hotărârea Comitetul executiv al Băncii Naționale a Moldovei</w:t>
      </w:r>
    </w:p>
    <w:p w14:paraId="2663ACA3" w14:textId="4AA46B98" w:rsidR="00760591" w:rsidRDefault="00CC3DBD" w:rsidP="007C4732">
      <w:pPr>
        <w:spacing w:after="0"/>
        <w:jc w:val="right"/>
        <w:rPr>
          <w:rFonts w:ascii="PermianSerifTypeface" w:hAnsi="PermianSerifTypeface" w:cs="Times New Roman"/>
          <w:b/>
          <w:color w:val="000000" w:themeColor="text1"/>
          <w:sz w:val="24"/>
          <w:szCs w:val="24"/>
          <w:lang w:val="ro-RO"/>
        </w:rPr>
      </w:pPr>
      <w:r w:rsidRPr="00230530">
        <w:rPr>
          <w:rFonts w:ascii="PermianSerifTypeface" w:hAnsi="PermianSerifTypeface" w:cs="Times New Roman"/>
          <w:color w:val="000000" w:themeColor="text1"/>
          <w:lang w:val="ro-RO"/>
        </w:rPr>
        <w:t>nr.</w:t>
      </w:r>
      <w:r w:rsidRPr="00230530">
        <w:rPr>
          <w:rFonts w:ascii="PermianSerifTypeface" w:hAnsi="PermianSerifTypeface"/>
          <w:color w:val="000000" w:themeColor="text1"/>
          <w:lang w:val="ro-RO"/>
        </w:rPr>
        <w:t xml:space="preserve"> </w:t>
      </w:r>
      <w:r w:rsidR="00A94F54" w:rsidRPr="00230530">
        <w:rPr>
          <w:rFonts w:ascii="PermianSerifTypeface" w:hAnsi="PermianSerifTypeface"/>
          <w:color w:val="000000" w:themeColor="text1"/>
          <w:lang w:val="ro-RO"/>
        </w:rPr>
        <w:t>180</w:t>
      </w:r>
      <w:r w:rsidR="006743F0" w:rsidRPr="00230530">
        <w:rPr>
          <w:rFonts w:ascii="PermianSerifTypeface" w:hAnsi="PermianSerifTypeface"/>
          <w:color w:val="000000" w:themeColor="text1"/>
          <w:lang w:val="ro-RO"/>
        </w:rPr>
        <w:t xml:space="preserve"> din </w:t>
      </w:r>
      <w:r w:rsidR="00A94F54" w:rsidRPr="00230530">
        <w:rPr>
          <w:rFonts w:ascii="PermianSerifTypeface" w:hAnsi="PermianSerifTypeface"/>
          <w:color w:val="000000" w:themeColor="text1"/>
          <w:lang w:val="ro-RO"/>
        </w:rPr>
        <w:t>27  iunie</w:t>
      </w:r>
      <w:r w:rsidR="006743F0" w:rsidRPr="00230530">
        <w:rPr>
          <w:rFonts w:ascii="PermianSerifTypeface" w:hAnsi="PermianSerifTypeface"/>
          <w:color w:val="000000" w:themeColor="text1"/>
          <w:lang w:val="ro-RO"/>
        </w:rPr>
        <w:t xml:space="preserve"> </w:t>
      </w:r>
      <w:r w:rsidRPr="00230530">
        <w:rPr>
          <w:rFonts w:ascii="PermianSerifTypeface" w:hAnsi="PermianSerifTypeface"/>
          <w:color w:val="000000" w:themeColor="text1"/>
          <w:lang w:val="ro-RO"/>
        </w:rPr>
        <w:t>20</w:t>
      </w:r>
      <w:r w:rsidR="009A64A7" w:rsidRPr="00230530">
        <w:rPr>
          <w:rFonts w:ascii="PermianSerifTypeface" w:hAnsi="PermianSerifTypeface"/>
          <w:color w:val="000000" w:themeColor="text1"/>
          <w:lang w:val="ro-RO"/>
        </w:rPr>
        <w:t>19</w:t>
      </w:r>
    </w:p>
    <w:p w14:paraId="0FAAA53F" w14:textId="19871BE0" w:rsidR="00807324" w:rsidRPr="001777B1" w:rsidRDefault="006F7311" w:rsidP="00881468">
      <w:pPr>
        <w:spacing w:after="240"/>
        <w:jc w:val="center"/>
        <w:rPr>
          <w:rFonts w:ascii="PermianSerifTypeface" w:hAnsi="PermianSerifTypeface" w:cs="Times New Roman"/>
          <w:b/>
          <w:color w:val="000000" w:themeColor="text1"/>
          <w:lang w:val="ro-RO"/>
        </w:rPr>
      </w:pPr>
      <w:bookmarkStart w:id="1" w:name="_Hlk154054670"/>
      <w:r w:rsidRPr="001777B1">
        <w:rPr>
          <w:rFonts w:ascii="PermianSerifTypeface" w:hAnsi="PermianSerifTypeface" w:cs="Times New Roman"/>
          <w:b/>
          <w:color w:val="000000" w:themeColor="text1"/>
          <w:lang w:val="ro-RO"/>
        </w:rPr>
        <w:lastRenderedPageBreak/>
        <w:t>Comisioanele percepute de Banca Națională a Moldovei pentru</w:t>
      </w:r>
      <w:r w:rsidR="00CC3DBD" w:rsidRPr="001777B1">
        <w:rPr>
          <w:rFonts w:ascii="PermianSerifTypeface" w:hAnsi="PermianSerifTypeface" w:cs="Times New Roman"/>
          <w:b/>
          <w:color w:val="000000" w:themeColor="text1"/>
          <w:lang w:val="ro-RO"/>
        </w:rPr>
        <w:t xml:space="preserve"> plățile procesate în </w:t>
      </w:r>
      <w:r w:rsidR="0013376C" w:rsidRPr="001777B1">
        <w:rPr>
          <w:rFonts w:ascii="PermianSerifTypeface" w:hAnsi="PermianSerifTypeface" w:cs="Times New Roman"/>
          <w:b/>
          <w:color w:val="000000" w:themeColor="text1"/>
          <w:lang w:val="ro-RO"/>
        </w:rPr>
        <w:t>sistemul de</w:t>
      </w:r>
      <w:bookmarkEnd w:id="1"/>
      <w:r w:rsidR="0013376C" w:rsidRPr="001777B1">
        <w:rPr>
          <w:rFonts w:ascii="PermianSerifTypeface" w:hAnsi="PermianSerifTypeface" w:cs="Times New Roman"/>
          <w:b/>
          <w:color w:val="000000" w:themeColor="text1"/>
          <w:lang w:val="ro-RO"/>
        </w:rPr>
        <w:t xml:space="preserve"> decontare pe bază brută în timp real (DBTR) și sistemul de compensare cu decontare pe bază netă</w:t>
      </w:r>
      <w:r w:rsidR="0013376C" w:rsidRPr="001777B1" w:rsidDel="0013376C">
        <w:rPr>
          <w:rFonts w:ascii="PermianSerifTypeface" w:hAnsi="PermianSerifTypeface" w:cs="Times New Roman"/>
          <w:b/>
          <w:color w:val="000000" w:themeColor="text1"/>
          <w:lang w:val="ro-RO"/>
        </w:rPr>
        <w:t xml:space="preserve"> </w:t>
      </w:r>
      <w:r w:rsidR="0013376C" w:rsidRPr="001777B1">
        <w:rPr>
          <w:rFonts w:ascii="PermianSerifTypeface" w:hAnsi="PermianSerifTypeface" w:cs="Times New Roman"/>
          <w:b/>
          <w:color w:val="000000" w:themeColor="text1"/>
          <w:lang w:val="ro-RO"/>
        </w:rPr>
        <w:t>(CDN)</w:t>
      </w:r>
    </w:p>
    <w:tbl>
      <w:tblPr>
        <w:tblStyle w:val="TableGrid"/>
        <w:tblpPr w:leftFromText="180" w:rightFromText="180" w:vertAnchor="text" w:horzAnchor="margin" w:tblpX="137" w:tblpY="13"/>
        <w:tblW w:w="920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7030"/>
        <w:gridCol w:w="1559"/>
      </w:tblGrid>
      <w:tr w:rsidR="00807324" w:rsidRPr="00230530" w14:paraId="7F4E6518" w14:textId="77777777" w:rsidTr="00CB754F"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65AA2231" w14:textId="3894A5D5" w:rsidR="00CC3DBD" w:rsidRPr="00CB754F" w:rsidRDefault="00DB66DA" w:rsidP="00CB754F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CB754F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030" w:type="dxa"/>
            <w:shd w:val="clear" w:color="auto" w:fill="D9D9D9" w:themeFill="background1" w:themeFillShade="D9"/>
            <w:vAlign w:val="center"/>
          </w:tcPr>
          <w:p w14:paraId="4AEEB1B4" w14:textId="77777777" w:rsidR="00CC3DBD" w:rsidRPr="00CB754F" w:rsidRDefault="00CC3DBD" w:rsidP="00CB754F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CB754F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Tipul comisionului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24228D" w14:textId="77777777" w:rsidR="00CC3DBD" w:rsidRPr="00CB754F" w:rsidRDefault="00CC3DBD" w:rsidP="00CB754F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CB754F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Valoarea comisionului</w:t>
            </w:r>
          </w:p>
        </w:tc>
      </w:tr>
      <w:tr w:rsidR="00807324" w:rsidRPr="00230530" w14:paraId="47F81999" w14:textId="77777777" w:rsidTr="00D4598F">
        <w:tc>
          <w:tcPr>
            <w:tcW w:w="620" w:type="dxa"/>
            <w:vAlign w:val="center"/>
          </w:tcPr>
          <w:p w14:paraId="7D893CCE" w14:textId="77777777" w:rsidR="00CC3DBD" w:rsidRPr="00230530" w:rsidRDefault="00CC3DBD" w:rsidP="00DE6123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1.</w:t>
            </w:r>
          </w:p>
        </w:tc>
        <w:tc>
          <w:tcPr>
            <w:tcW w:w="7030" w:type="dxa"/>
            <w:vAlign w:val="center"/>
          </w:tcPr>
          <w:p w14:paraId="14EEAB0B" w14:textId="7752F6A7" w:rsidR="00CC3DBD" w:rsidRPr="00230530" w:rsidRDefault="00CC3DBD" w:rsidP="00D4598F">
            <w:pPr>
              <w:spacing w:line="276" w:lineRule="auto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Comisionul </w:t>
            </w:r>
            <w:r w:rsidR="00C30969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perceput de la participantul plătitor 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pentru procesarea unui document de plată în sistemul DBTR</w:t>
            </w:r>
          </w:p>
        </w:tc>
        <w:tc>
          <w:tcPr>
            <w:tcW w:w="1559" w:type="dxa"/>
            <w:vAlign w:val="center"/>
          </w:tcPr>
          <w:p w14:paraId="23247062" w14:textId="186DCFD1" w:rsidR="00CC3DBD" w:rsidRPr="00230530" w:rsidRDefault="003D773D" w:rsidP="00D4598F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3</w:t>
            </w:r>
            <w:r w:rsidR="003536EB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,</w:t>
            </w: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9</w:t>
            </w:r>
            <w:r w:rsidR="003536EB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0</w:t>
            </w:r>
            <w:r w:rsidR="00CC3DBD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lei</w:t>
            </w:r>
          </w:p>
        </w:tc>
      </w:tr>
      <w:tr w:rsidR="00807324" w:rsidRPr="00230530" w14:paraId="3EB21F21" w14:textId="77777777" w:rsidTr="00D4598F">
        <w:tc>
          <w:tcPr>
            <w:tcW w:w="620" w:type="dxa"/>
            <w:vAlign w:val="center"/>
          </w:tcPr>
          <w:p w14:paraId="13FACCB0" w14:textId="77777777" w:rsidR="00CC3DBD" w:rsidRPr="00230530" w:rsidRDefault="00CC3DBD" w:rsidP="00DE6123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2.</w:t>
            </w:r>
          </w:p>
        </w:tc>
        <w:tc>
          <w:tcPr>
            <w:tcW w:w="7030" w:type="dxa"/>
            <w:vAlign w:val="center"/>
          </w:tcPr>
          <w:p w14:paraId="178B4811" w14:textId="4268221B" w:rsidR="00CC3DBD" w:rsidRPr="00230530" w:rsidRDefault="00CC3DBD" w:rsidP="00D4598F">
            <w:pPr>
              <w:spacing w:line="276" w:lineRule="auto"/>
              <w:rPr>
                <w:rFonts w:ascii="PermianSerifTypeface" w:hAnsi="PermianSerifTypeface"/>
                <w:i/>
                <w:color w:val="0000FF"/>
                <w:sz w:val="20"/>
                <w:szCs w:val="20"/>
                <w:u w:val="single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Comisionul </w:t>
            </w:r>
            <w:r w:rsidR="00C30969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perceput de la participantul plătitor 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pentru procesarea unui document de plată în sistemul CDN</w:t>
            </w:r>
          </w:p>
        </w:tc>
        <w:tc>
          <w:tcPr>
            <w:tcW w:w="1559" w:type="dxa"/>
            <w:vAlign w:val="center"/>
          </w:tcPr>
          <w:p w14:paraId="55587CA1" w14:textId="6DC272A5" w:rsidR="00CC3DBD" w:rsidRPr="00230530" w:rsidRDefault="003D773D" w:rsidP="00D4598F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0</w:t>
            </w:r>
            <w:r w:rsidR="00417176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,</w:t>
            </w: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8</w:t>
            </w:r>
            <w:r w:rsidR="003536EB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0</w:t>
            </w:r>
            <w:r w:rsidR="00CC3DBD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lei</w:t>
            </w:r>
          </w:p>
        </w:tc>
      </w:tr>
      <w:tr w:rsidR="00807324" w:rsidRPr="00230530" w14:paraId="56ADBC7D" w14:textId="77777777" w:rsidTr="00D4598F">
        <w:tc>
          <w:tcPr>
            <w:tcW w:w="620" w:type="dxa"/>
            <w:vAlign w:val="center"/>
          </w:tcPr>
          <w:p w14:paraId="52610B61" w14:textId="77777777" w:rsidR="00CC3DBD" w:rsidRPr="00230530" w:rsidRDefault="00CC3DBD" w:rsidP="00DE6123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3.</w:t>
            </w:r>
          </w:p>
        </w:tc>
        <w:tc>
          <w:tcPr>
            <w:tcW w:w="7030" w:type="dxa"/>
            <w:vAlign w:val="center"/>
          </w:tcPr>
          <w:p w14:paraId="6FFE72A2" w14:textId="771911E2" w:rsidR="00CC3DBD" w:rsidRPr="00230530" w:rsidRDefault="00CC3DBD" w:rsidP="00DE6123">
            <w:pPr>
              <w:spacing w:line="276" w:lineRule="auto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Comisionul </w:t>
            </w:r>
            <w:r w:rsidR="00C30969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perceput de la participantul plătitor 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pentru procesarea unui pachet cu documente de plată în sistemul CDN</w:t>
            </w:r>
          </w:p>
        </w:tc>
        <w:tc>
          <w:tcPr>
            <w:tcW w:w="1559" w:type="dxa"/>
            <w:vAlign w:val="center"/>
          </w:tcPr>
          <w:p w14:paraId="0F80AE5C" w14:textId="57B50679" w:rsidR="00CC3DBD" w:rsidRPr="00230530" w:rsidRDefault="003D773D" w:rsidP="00D4598F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0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,</w:t>
            </w: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8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 </w:t>
            </w:r>
            <w:r w:rsidR="00CC3DBD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lei</w:t>
            </w:r>
          </w:p>
        </w:tc>
      </w:tr>
      <w:tr w:rsidR="00807324" w:rsidRPr="00230530" w14:paraId="272C3FB7" w14:textId="77777777" w:rsidTr="00D4598F">
        <w:tc>
          <w:tcPr>
            <w:tcW w:w="620" w:type="dxa"/>
            <w:vAlign w:val="center"/>
          </w:tcPr>
          <w:p w14:paraId="6224E2AC" w14:textId="77777777" w:rsidR="00CC3DBD" w:rsidRPr="00230530" w:rsidRDefault="00CC3DBD" w:rsidP="00DE6123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4.</w:t>
            </w:r>
          </w:p>
        </w:tc>
        <w:tc>
          <w:tcPr>
            <w:tcW w:w="7030" w:type="dxa"/>
            <w:vAlign w:val="center"/>
          </w:tcPr>
          <w:p w14:paraId="70A954E6" w14:textId="3A430107" w:rsidR="00CC3DBD" w:rsidRPr="00230530" w:rsidRDefault="00CC3DBD" w:rsidP="00DE6123">
            <w:pPr>
              <w:spacing w:line="276" w:lineRule="auto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Comisionul </w:t>
            </w:r>
            <w:r w:rsidR="00C30969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perceput de la solicitant 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pentru procesarea unei </w:t>
            </w:r>
            <w:r w:rsidR="0050185E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solicitări 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în sistemul DBTR </w:t>
            </w:r>
            <w:r w:rsidR="00D4598F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și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</w:t>
            </w:r>
            <w:r w:rsidR="0050185E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în 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sistemul CDN </w:t>
            </w:r>
          </w:p>
        </w:tc>
        <w:tc>
          <w:tcPr>
            <w:tcW w:w="1559" w:type="dxa"/>
            <w:vAlign w:val="center"/>
          </w:tcPr>
          <w:p w14:paraId="2B2AE1FC" w14:textId="56C62466" w:rsidR="00CC3DBD" w:rsidRPr="00230530" w:rsidRDefault="003D773D" w:rsidP="00D4598F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0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,</w:t>
            </w: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8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 </w:t>
            </w:r>
            <w:r w:rsidR="00CC3DBD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lei</w:t>
            </w:r>
          </w:p>
        </w:tc>
      </w:tr>
      <w:tr w:rsidR="00705A03" w:rsidRPr="00230530" w14:paraId="74A2DE23" w14:textId="77777777" w:rsidTr="00E52A1B">
        <w:trPr>
          <w:trHeight w:val="546"/>
        </w:trPr>
        <w:tc>
          <w:tcPr>
            <w:tcW w:w="9209" w:type="dxa"/>
            <w:gridSpan w:val="3"/>
          </w:tcPr>
          <w:p w14:paraId="2D0D5C83" w14:textId="77777777" w:rsidR="00705A03" w:rsidRPr="00230530" w:rsidRDefault="00705A03" w:rsidP="00705A03">
            <w:pPr>
              <w:pStyle w:val="NoSpacing"/>
              <w:spacing w:line="240" w:lineRule="exact"/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Notă: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Comisionul pentru procesarea documentului de plată aferent restituirii sumei transmise în mod eronat se percepe de la participantul care a transmis suma eronată.</w:t>
            </w:r>
          </w:p>
        </w:tc>
      </w:tr>
    </w:tbl>
    <w:p w14:paraId="3B8F5280" w14:textId="57A0F690" w:rsidR="000C4377" w:rsidRDefault="000C4377" w:rsidP="000C4377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/>
        <w:rPr>
          <w:rFonts w:ascii="PermianSerifTypeface" w:hAnsi="PermianSerifTypeface"/>
          <w:b/>
          <w:bCs/>
          <w:color w:val="000000" w:themeColor="text1"/>
          <w:lang w:val="ro-RO"/>
        </w:rPr>
      </w:pPr>
    </w:p>
    <w:p w14:paraId="7EF9D864" w14:textId="77777777" w:rsidR="00DE6123" w:rsidRDefault="00DE6123" w:rsidP="000C4377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/>
        <w:rPr>
          <w:rFonts w:ascii="PermianSerifTypeface" w:hAnsi="PermianSerifTypeface"/>
          <w:b/>
          <w:bCs/>
          <w:color w:val="000000" w:themeColor="text1"/>
          <w:lang w:val="ro-RO"/>
        </w:rPr>
      </w:pPr>
    </w:p>
    <w:p w14:paraId="7EF8F04B" w14:textId="12D58C88" w:rsidR="00E871C8" w:rsidRPr="002C0DFC" w:rsidRDefault="00E871C8" w:rsidP="00E871C8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/>
        <w:ind w:left="720" w:hanging="360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  <w:r w:rsidRPr="002C0DFC">
        <w:rPr>
          <w:rFonts w:ascii="PermianSerifTypeface" w:hAnsi="PermianSerifTypeface"/>
          <w:b/>
          <w:bCs/>
          <w:color w:val="000000" w:themeColor="text1"/>
          <w:lang w:val="ro-RO"/>
        </w:rPr>
        <w:t xml:space="preserve">Valoarea maximă a documentului de plată acceptat de sistemul de compensare cu decontare pe bază netă </w:t>
      </w:r>
      <w:r w:rsidR="00FC0EC9">
        <w:rPr>
          <w:rFonts w:ascii="PermianSerifTypeface" w:hAnsi="PermianSerifTypeface"/>
          <w:b/>
          <w:bCs/>
          <w:color w:val="000000" w:themeColor="text1"/>
          <w:lang w:val="ro-RO"/>
        </w:rPr>
        <w:t xml:space="preserve">și de sistemul </w:t>
      </w:r>
      <w:r w:rsidR="00967D70">
        <w:rPr>
          <w:rFonts w:ascii="PermianSerifTypeface" w:hAnsi="PermianSerifTypeface"/>
          <w:b/>
          <w:bCs/>
          <w:color w:val="000000" w:themeColor="text1"/>
          <w:lang w:val="ro-RO"/>
        </w:rPr>
        <w:t xml:space="preserve">de plăți </w:t>
      </w:r>
      <w:r w:rsidR="00FC0EC9">
        <w:rPr>
          <w:rFonts w:ascii="PermianSerifTypeface" w:hAnsi="PermianSerifTypeface"/>
          <w:b/>
          <w:bCs/>
          <w:color w:val="000000" w:themeColor="text1"/>
          <w:lang w:val="ro-RO"/>
        </w:rPr>
        <w:t xml:space="preserve">instant </w:t>
      </w:r>
      <w:r w:rsidRPr="002C0DFC">
        <w:rPr>
          <w:rFonts w:ascii="PermianSerifTypeface" w:hAnsi="PermianSerifTypeface"/>
          <w:b/>
          <w:bCs/>
          <w:color w:val="000000" w:themeColor="text1"/>
          <w:lang w:val="ro-RO"/>
        </w:rPr>
        <w:t>din partea participanților</w:t>
      </w:r>
      <w:r w:rsidR="00FC0EC9">
        <w:rPr>
          <w:rFonts w:ascii="PermianSerifTypeface" w:hAnsi="PermianSerifTypeface"/>
          <w:b/>
          <w:bCs/>
          <w:color w:val="000000" w:themeColor="text1"/>
          <w:lang w:val="ro-RO"/>
        </w:rPr>
        <w:t xml:space="preserve"> </w:t>
      </w:r>
    </w:p>
    <w:p w14:paraId="2F276881" w14:textId="77777777" w:rsidR="00E871C8" w:rsidRPr="002C0DFC" w:rsidRDefault="00E871C8" w:rsidP="00E871C8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/>
        <w:ind w:left="720" w:hanging="360"/>
        <w:rPr>
          <w:rFonts w:ascii="PermianSerifTypeface" w:hAnsi="PermianSerifTypeface"/>
          <w:b/>
          <w:bCs/>
          <w:color w:val="000000" w:themeColor="text1"/>
          <w:lang w:val="ro-RO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946"/>
        <w:gridCol w:w="1553"/>
      </w:tblGrid>
      <w:tr w:rsidR="00E871C8" w14:paraId="7A42B881" w14:textId="77777777" w:rsidTr="00272EC2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5E0EF10" w14:textId="77777777" w:rsidR="00E871C8" w:rsidRPr="003D1DAE" w:rsidRDefault="00E871C8" w:rsidP="00272EC2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3D1DAE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</w:tcPr>
          <w:p w14:paraId="713FF640" w14:textId="77777777" w:rsidR="00E871C8" w:rsidRPr="003D1DAE" w:rsidRDefault="00E871C8" w:rsidP="00272EC2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3D1DAE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Denumirea</w:t>
            </w:r>
          </w:p>
        </w:tc>
        <w:tc>
          <w:tcPr>
            <w:tcW w:w="1553" w:type="dxa"/>
            <w:shd w:val="clear" w:color="auto" w:fill="BFBFBF" w:themeFill="background1" w:themeFillShade="BF"/>
            <w:vAlign w:val="center"/>
          </w:tcPr>
          <w:p w14:paraId="3DD6F35B" w14:textId="77777777" w:rsidR="00E871C8" w:rsidRPr="003D1DAE" w:rsidRDefault="00E871C8" w:rsidP="00272EC2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3D1DAE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Valoarea</w:t>
            </w:r>
          </w:p>
        </w:tc>
      </w:tr>
      <w:tr w:rsidR="00E871C8" w14:paraId="3A779B09" w14:textId="77777777" w:rsidTr="000664D1">
        <w:trPr>
          <w:trHeight w:val="559"/>
        </w:trPr>
        <w:tc>
          <w:tcPr>
            <w:tcW w:w="709" w:type="dxa"/>
            <w:vAlign w:val="center"/>
          </w:tcPr>
          <w:p w14:paraId="6CAD33E2" w14:textId="77777777" w:rsidR="00E871C8" w:rsidRPr="003D1DAE" w:rsidRDefault="00E871C8" w:rsidP="000664D1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</w:tabs>
              <w:spacing w:before="0"/>
              <w:jc w:val="center"/>
              <w:rPr>
                <w:rFonts w:ascii="PermianSerifTypeface" w:hAnsi="PermianSerifTypeface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color w:val="000000" w:themeColor="text1"/>
                <w:sz w:val="20"/>
                <w:szCs w:val="20"/>
                <w:lang w:val="ro-RO"/>
              </w:rPr>
              <w:t>1.</w:t>
            </w:r>
          </w:p>
        </w:tc>
        <w:tc>
          <w:tcPr>
            <w:tcW w:w="6946" w:type="dxa"/>
            <w:vAlign w:val="center"/>
          </w:tcPr>
          <w:p w14:paraId="4BAC4B3A" w14:textId="77777777" w:rsidR="00E871C8" w:rsidRPr="003D1DAE" w:rsidRDefault="00E871C8" w:rsidP="000664D1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9"/>
                <w:tab w:val="left" w:pos="851"/>
              </w:tabs>
              <w:spacing w:before="0"/>
              <w:ind w:left="29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3D1DAE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Valoarea maximă a documentului de plată acceptat de sistemul de compensare cu decontare pe bază netă din partea participanților</w:t>
            </w:r>
          </w:p>
        </w:tc>
        <w:tc>
          <w:tcPr>
            <w:tcW w:w="1553" w:type="dxa"/>
            <w:vAlign w:val="center"/>
          </w:tcPr>
          <w:p w14:paraId="2BCEE017" w14:textId="77777777" w:rsidR="00E871C8" w:rsidRPr="003D1DAE" w:rsidRDefault="00E871C8" w:rsidP="00272EC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3D1DAE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500 000 lei</w:t>
            </w:r>
          </w:p>
        </w:tc>
      </w:tr>
      <w:tr w:rsidR="00BD5C8F" w14:paraId="175A84D5" w14:textId="77777777" w:rsidTr="000664D1">
        <w:trPr>
          <w:trHeight w:val="609"/>
        </w:trPr>
        <w:tc>
          <w:tcPr>
            <w:tcW w:w="709" w:type="dxa"/>
            <w:vAlign w:val="center"/>
          </w:tcPr>
          <w:p w14:paraId="4F8D9BD5" w14:textId="18F759FE" w:rsidR="00BD5C8F" w:rsidRDefault="00BD5C8F" w:rsidP="000664D1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</w:tabs>
              <w:spacing w:before="0"/>
              <w:jc w:val="center"/>
              <w:rPr>
                <w:rFonts w:ascii="PermianSerifTypeface" w:hAnsi="PermianSerifTypeface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color w:val="000000" w:themeColor="text1"/>
                <w:sz w:val="20"/>
                <w:szCs w:val="20"/>
                <w:lang w:val="ro-RO"/>
              </w:rPr>
              <w:t>2.</w:t>
            </w:r>
          </w:p>
        </w:tc>
        <w:tc>
          <w:tcPr>
            <w:tcW w:w="6946" w:type="dxa"/>
            <w:vAlign w:val="center"/>
          </w:tcPr>
          <w:p w14:paraId="06A01858" w14:textId="5AEBF2DC" w:rsidR="00BD5C8F" w:rsidRPr="003D1DAE" w:rsidRDefault="00BD5C8F" w:rsidP="000664D1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9"/>
                <w:tab w:val="left" w:pos="851"/>
              </w:tabs>
              <w:spacing w:before="0"/>
              <w:ind w:left="29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3D1DAE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Valoarea maximă a documentului de plată acceptat de sistemul </w:t>
            </w:r>
            <w:r w:rsidR="00967D70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de plăți </w:t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instant</w:t>
            </w:r>
            <w:r w:rsidRPr="003D1DAE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din partea participanților</w:t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(</w:t>
            </w:r>
            <w:r w:rsidRPr="000664D1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transferurile P2P</w:t>
            </w:r>
            <w:r>
              <w:rPr>
                <w:rStyle w:val="FootnoteReference"/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footnoteReference w:id="1"/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)</w:t>
            </w:r>
          </w:p>
        </w:tc>
        <w:tc>
          <w:tcPr>
            <w:tcW w:w="1553" w:type="dxa"/>
            <w:vAlign w:val="center"/>
          </w:tcPr>
          <w:p w14:paraId="46D292E7" w14:textId="797233ED" w:rsidR="00BD5C8F" w:rsidRPr="003D1DAE" w:rsidRDefault="00BD5C8F" w:rsidP="00272EC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5 000 lei</w:t>
            </w:r>
          </w:p>
        </w:tc>
      </w:tr>
      <w:tr w:rsidR="00BD5C8F" w14:paraId="2AED421D" w14:textId="77777777" w:rsidTr="000664D1">
        <w:trPr>
          <w:trHeight w:val="647"/>
        </w:trPr>
        <w:tc>
          <w:tcPr>
            <w:tcW w:w="709" w:type="dxa"/>
            <w:vAlign w:val="center"/>
          </w:tcPr>
          <w:p w14:paraId="746FCA35" w14:textId="227F1A8C" w:rsidR="00BD5C8F" w:rsidRDefault="00BD5C8F" w:rsidP="000664D1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</w:tabs>
              <w:spacing w:before="0"/>
              <w:jc w:val="center"/>
              <w:rPr>
                <w:rFonts w:ascii="PermianSerifTypeface" w:hAnsi="PermianSerifTypeface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color w:val="000000" w:themeColor="text1"/>
                <w:sz w:val="20"/>
                <w:szCs w:val="20"/>
                <w:lang w:val="ro-RO"/>
              </w:rPr>
              <w:t>3.</w:t>
            </w:r>
          </w:p>
        </w:tc>
        <w:tc>
          <w:tcPr>
            <w:tcW w:w="6946" w:type="dxa"/>
            <w:vAlign w:val="center"/>
          </w:tcPr>
          <w:p w14:paraId="7FAD44C4" w14:textId="43CCCABC" w:rsidR="000664D1" w:rsidRPr="003D1DAE" w:rsidRDefault="00BD5C8F" w:rsidP="000664D1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9"/>
                <w:tab w:val="left" w:pos="851"/>
              </w:tabs>
              <w:spacing w:before="0"/>
              <w:ind w:left="29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3D1DAE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Valoarea maximă a documentului de plată acceptat de sistemul </w:t>
            </w:r>
            <w:r w:rsidR="00967D70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de plăți </w:t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instant</w:t>
            </w:r>
            <w:r w:rsidRPr="003D1DAE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din partea participanților</w:t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(</w:t>
            </w:r>
            <w:r w:rsidRPr="000664D1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transferurile P2B</w:t>
            </w:r>
            <w:r w:rsidR="00FC0EC9" w:rsidRPr="000664D1">
              <w:rPr>
                <w:rStyle w:val="FootnoteReference"/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footnoteReference w:id="2"/>
            </w:r>
            <w:r w:rsidRPr="000664D1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 xml:space="preserve"> și P2G</w:t>
            </w:r>
            <w:r w:rsidR="00FC0EC9">
              <w:rPr>
                <w:rStyle w:val="FootnoteReference"/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footnoteReference w:id="3"/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)</w:t>
            </w:r>
          </w:p>
        </w:tc>
        <w:tc>
          <w:tcPr>
            <w:tcW w:w="1553" w:type="dxa"/>
            <w:vAlign w:val="center"/>
          </w:tcPr>
          <w:p w14:paraId="35341A99" w14:textId="18F76413" w:rsidR="00BD5C8F" w:rsidRPr="003D1DAE" w:rsidRDefault="00BD5C8F" w:rsidP="00272EC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100 000 lei</w:t>
            </w:r>
          </w:p>
        </w:tc>
      </w:tr>
    </w:tbl>
    <w:p w14:paraId="6ABAF2B3" w14:textId="4C044D0E" w:rsidR="00DE6123" w:rsidRPr="009B0A9D" w:rsidRDefault="00E871C8" w:rsidP="009B0A9D">
      <w:pPr>
        <w:pStyle w:val="FootnoteText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o-RO"/>
        </w:rPr>
        <w:t xml:space="preserve">       </w:t>
      </w:r>
    </w:p>
    <w:p w14:paraId="43DE6C64" w14:textId="77777777" w:rsidR="001777B1" w:rsidRDefault="001777B1" w:rsidP="00CC31B8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 w:line="276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</w:p>
    <w:p w14:paraId="3011616F" w14:textId="62E5F2BA" w:rsidR="000E2706" w:rsidRPr="001777B1" w:rsidRDefault="00BD64E9" w:rsidP="00CC31B8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 w:line="276" w:lineRule="auto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  <w:r w:rsidRPr="001777B1">
        <w:rPr>
          <w:rFonts w:ascii="PermianSerifTypeface" w:hAnsi="PermianSerifTypeface"/>
          <w:b/>
          <w:color w:val="000000" w:themeColor="text1"/>
          <w:lang w:val="ro-RO"/>
        </w:rPr>
        <w:t>Comisioanele percepute de Banca Națională a Moldovei și prestatorii de servicii de plată pentru plățile</w:t>
      </w:r>
      <w:r w:rsidR="00CC31B8" w:rsidRPr="001777B1">
        <w:rPr>
          <w:rFonts w:ascii="PermianSerifTypeface" w:hAnsi="PermianSerifTypeface"/>
          <w:b/>
          <w:color w:val="000000" w:themeColor="text1"/>
          <w:lang w:val="ro-RO"/>
        </w:rPr>
        <w:t xml:space="preserve"> P2P</w:t>
      </w:r>
      <w:r w:rsidRPr="001777B1">
        <w:rPr>
          <w:rFonts w:ascii="PermianSerifTypeface" w:hAnsi="PermianSerifTypeface"/>
          <w:b/>
          <w:color w:val="000000" w:themeColor="text1"/>
          <w:lang w:val="ro-RO"/>
        </w:rPr>
        <w:t xml:space="preserve"> procesate</w:t>
      </w:r>
      <w:r w:rsidRPr="001777B1">
        <w:rPr>
          <w:rFonts w:ascii="PermianSerifTypeface" w:hAnsi="PermianSerifTypeface"/>
          <w:b/>
          <w:bCs/>
          <w:color w:val="000000" w:themeColor="text1"/>
          <w:lang w:val="ro-RO"/>
        </w:rPr>
        <w:t xml:space="preserve"> în sistemul de plăți instant </w:t>
      </w:r>
    </w:p>
    <w:p w14:paraId="09A58617" w14:textId="77777777" w:rsidR="00B05BD3" w:rsidRDefault="00B05BD3" w:rsidP="000E2706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/>
        <w:ind w:left="142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</w:p>
    <w:tbl>
      <w:tblPr>
        <w:tblStyle w:val="TableGrid"/>
        <w:tblW w:w="9203" w:type="dxa"/>
        <w:tblInd w:w="142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C30969" w14:paraId="6760EA76" w14:textId="77777777" w:rsidTr="00C30969">
        <w:trPr>
          <w:trHeight w:val="595"/>
        </w:trPr>
        <w:tc>
          <w:tcPr>
            <w:tcW w:w="3067" w:type="dxa"/>
            <w:shd w:val="clear" w:color="auto" w:fill="D0CECE" w:themeFill="background2" w:themeFillShade="E6"/>
            <w:vAlign w:val="center"/>
          </w:tcPr>
          <w:p w14:paraId="21AC0D3D" w14:textId="042149E0" w:rsidR="00C30969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Suma plății</w:t>
            </w:r>
          </w:p>
        </w:tc>
        <w:tc>
          <w:tcPr>
            <w:tcW w:w="3068" w:type="dxa"/>
            <w:shd w:val="clear" w:color="auto" w:fill="D0CECE" w:themeFill="background2" w:themeFillShade="E6"/>
            <w:vAlign w:val="center"/>
          </w:tcPr>
          <w:p w14:paraId="404E9F6E" w14:textId="2FE1AB1E" w:rsidR="00C30969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Comision </w:t>
            </w:r>
            <w:r w:rsidR="00D8468B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perceput de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BNM </w:t>
            </w:r>
          </w:p>
        </w:tc>
        <w:tc>
          <w:tcPr>
            <w:tcW w:w="3068" w:type="dxa"/>
            <w:shd w:val="clear" w:color="auto" w:fill="D0CECE" w:themeFill="background2" w:themeFillShade="E6"/>
            <w:vAlign w:val="center"/>
          </w:tcPr>
          <w:p w14:paraId="6084AA42" w14:textId="6FB4C10B" w:rsidR="00C30969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Comision </w:t>
            </w:r>
            <w:r w:rsidR="00D8468B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perceput de la plătitor de către participant</w:t>
            </w:r>
            <w:r w:rsidR="005D118E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ul </w:t>
            </w:r>
            <w:r w:rsidR="005D118E">
              <w:rPr>
                <w:rFonts w:ascii="PermianSerifTypeface" w:hAnsi="PermianSerifTypeface"/>
                <w:sz w:val="20"/>
                <w:szCs w:val="20"/>
                <w:lang w:val="ro-RO"/>
              </w:rPr>
              <w:t>plătitor</w:t>
            </w:r>
            <w:r w:rsidR="00D8468B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C30969" w14:paraId="44B14CFD" w14:textId="77777777" w:rsidTr="00C30969">
        <w:tc>
          <w:tcPr>
            <w:tcW w:w="3067" w:type="dxa"/>
            <w:vAlign w:val="center"/>
          </w:tcPr>
          <w:p w14:paraId="5A207DAF" w14:textId="2A8A6F0F" w:rsidR="00C30969" w:rsidRPr="00E86960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</w:tabs>
              <w:jc w:val="left"/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</w:pP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Până la </w:t>
            </w:r>
            <w:r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>1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 000 </w:t>
            </w:r>
            <w:r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>lei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  <w:lang w:val="en-US"/>
              </w:rPr>
              <w:t xml:space="preserve"> lunar</w:t>
            </w:r>
          </w:p>
          <w:p w14:paraId="0C0F8C22" w14:textId="77777777" w:rsidR="00C30969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3068" w:type="dxa"/>
            <w:vAlign w:val="center"/>
          </w:tcPr>
          <w:p w14:paraId="76EEA067" w14:textId="224A01AF" w:rsidR="00C30969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3D1DAE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 lei</w:t>
            </w:r>
          </w:p>
        </w:tc>
        <w:tc>
          <w:tcPr>
            <w:tcW w:w="3068" w:type="dxa"/>
            <w:vAlign w:val="center"/>
          </w:tcPr>
          <w:p w14:paraId="4B7FB0F8" w14:textId="26A6E5C1" w:rsidR="00C30969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 lei</w:t>
            </w:r>
          </w:p>
        </w:tc>
      </w:tr>
      <w:tr w:rsidR="00C30969" w14:paraId="0FFA8F00" w14:textId="77777777" w:rsidTr="00C30969">
        <w:trPr>
          <w:trHeight w:val="882"/>
        </w:trPr>
        <w:tc>
          <w:tcPr>
            <w:tcW w:w="3067" w:type="dxa"/>
            <w:vAlign w:val="center"/>
          </w:tcPr>
          <w:p w14:paraId="55364E50" w14:textId="0ACBFBA8" w:rsidR="00C30969" w:rsidRPr="00E86960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left" w:pos="0"/>
                <w:tab w:val="left" w:pos="851"/>
              </w:tabs>
              <w:jc w:val="left"/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</w:pP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Mai mult de </w:t>
            </w:r>
            <w:r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>1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0 000 </w:t>
            </w:r>
            <w:r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>lei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  <w:lang w:val="en-US"/>
              </w:rPr>
              <w:t xml:space="preserve"> lunar</w:t>
            </w:r>
          </w:p>
          <w:p w14:paraId="60E35B8D" w14:textId="77777777" w:rsidR="00C30969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3068" w:type="dxa"/>
            <w:vAlign w:val="center"/>
          </w:tcPr>
          <w:p w14:paraId="1B26903C" w14:textId="0C2F5F68" w:rsidR="00C30969" w:rsidRPr="00E86960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</w:pPr>
            <w:r w:rsidRPr="003D1DAE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 lei</w:t>
            </w:r>
          </w:p>
        </w:tc>
        <w:tc>
          <w:tcPr>
            <w:tcW w:w="3068" w:type="dxa"/>
            <w:vAlign w:val="center"/>
          </w:tcPr>
          <w:p w14:paraId="0D3C21AB" w14:textId="15DC75A7" w:rsidR="00C30969" w:rsidRDefault="00C30969" w:rsidP="00C30969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  <w:r w:rsidRPr="00E86960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>până la 0,5</w:t>
            </w:r>
            <w:r w:rsidRPr="003B27F8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 xml:space="preserve"> </w:t>
            </w:r>
            <w:r w:rsidRPr="00E86960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 xml:space="preserve">% din suma tranzacției, dar nu mai mult de 5 </w:t>
            </w:r>
            <w:r w:rsidRPr="003B27F8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>lei</w:t>
            </w:r>
            <w:r w:rsidRPr="00E86960">
              <w:rPr>
                <w:rFonts w:ascii="PermianSerifTypeface" w:hAnsi="PermianSerifTypefac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6960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>per tranzacție</w:t>
            </w:r>
          </w:p>
        </w:tc>
      </w:tr>
    </w:tbl>
    <w:p w14:paraId="61A96979" w14:textId="77777777" w:rsidR="00E871C8" w:rsidRDefault="00E871C8" w:rsidP="009B0A9D">
      <w:pPr>
        <w:rPr>
          <w:rFonts w:ascii="PermianSerifTypeface" w:hAnsi="PermianSerifTypeface"/>
          <w:b/>
          <w:bCs/>
          <w:color w:val="000000" w:themeColor="text1"/>
          <w:lang w:val="ro-RO"/>
        </w:rPr>
      </w:pPr>
    </w:p>
    <w:p w14:paraId="10E906AA" w14:textId="031A0A3A" w:rsidR="00BD64E9" w:rsidRPr="001777B1" w:rsidRDefault="00BD64E9" w:rsidP="00CC31B8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 w:line="276" w:lineRule="auto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  <w:r w:rsidRPr="001777B1">
        <w:rPr>
          <w:rFonts w:ascii="PermianSerifTypeface" w:hAnsi="PermianSerifTypeface"/>
          <w:b/>
          <w:color w:val="000000" w:themeColor="text1"/>
          <w:lang w:val="ro-RO"/>
        </w:rPr>
        <w:lastRenderedPageBreak/>
        <w:t>Comisioanele percepute de Banca Națională a Moldovei și prestatorii de servicii de plată pentru plățile</w:t>
      </w:r>
      <w:r w:rsidR="00CC31B8" w:rsidRPr="001777B1">
        <w:rPr>
          <w:rFonts w:ascii="PermianSerifTypeface" w:hAnsi="PermianSerifTypeface"/>
          <w:b/>
          <w:color w:val="000000" w:themeColor="text1"/>
          <w:lang w:val="ro-RO"/>
        </w:rPr>
        <w:t xml:space="preserve"> P2B</w:t>
      </w:r>
      <w:r w:rsidRPr="001777B1">
        <w:rPr>
          <w:rFonts w:ascii="PermianSerifTypeface" w:hAnsi="PermianSerifTypeface"/>
          <w:b/>
          <w:color w:val="000000" w:themeColor="text1"/>
          <w:lang w:val="ro-RO"/>
        </w:rPr>
        <w:t xml:space="preserve"> procesate</w:t>
      </w:r>
      <w:r w:rsidRPr="001777B1">
        <w:rPr>
          <w:rFonts w:ascii="PermianSerifTypeface" w:hAnsi="PermianSerifTypeface"/>
          <w:b/>
          <w:bCs/>
          <w:color w:val="000000" w:themeColor="text1"/>
          <w:lang w:val="ro-RO"/>
        </w:rPr>
        <w:t xml:space="preserve"> în sistemul de plăți instant </w:t>
      </w:r>
    </w:p>
    <w:p w14:paraId="14FA9916" w14:textId="77777777" w:rsidR="000E2706" w:rsidRDefault="000E2706" w:rsidP="002C0DFC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/>
        <w:ind w:left="720" w:hanging="360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980"/>
        <w:gridCol w:w="2126"/>
        <w:gridCol w:w="1984"/>
        <w:gridCol w:w="3113"/>
      </w:tblGrid>
      <w:tr w:rsidR="00A00C84" w14:paraId="52B9DA3F" w14:textId="77777777" w:rsidTr="004514F8">
        <w:trPr>
          <w:trHeight w:val="595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224C12E" w14:textId="23A524A4" w:rsidR="00A00C84" w:rsidRDefault="005535F1" w:rsidP="00795B13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Suma plății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713CD64" w14:textId="117B7655" w:rsidR="00A00C84" w:rsidRDefault="00A00C84" w:rsidP="00795B13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Comision</w:t>
            </w:r>
            <w:r w:rsidR="005535F1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 perceput de la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5535F1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comerciant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BE1221F" w14:textId="4E0FB87B" w:rsidR="00A00C84" w:rsidRDefault="00A00C84" w:rsidP="00A00C84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Comision </w:t>
            </w:r>
            <w:r w:rsidR="007F2142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interbancar (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interchange</w:t>
            </w:r>
            <w:r w:rsidR="007F2142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3113" w:type="dxa"/>
            <w:shd w:val="clear" w:color="auto" w:fill="D0CECE" w:themeFill="background2" w:themeFillShade="E6"/>
            <w:vAlign w:val="center"/>
          </w:tcPr>
          <w:p w14:paraId="3DBB3A56" w14:textId="7E020682" w:rsidR="00A00C84" w:rsidRPr="000E2706" w:rsidRDefault="00A00C84" w:rsidP="00795B13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Comision </w:t>
            </w:r>
            <w:r w:rsidR="005535F1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 xml:space="preserve">perceput de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BNM</w:t>
            </w:r>
          </w:p>
        </w:tc>
      </w:tr>
      <w:tr w:rsidR="00A00C84" w14:paraId="203F0882" w14:textId="77777777" w:rsidTr="004514F8">
        <w:trPr>
          <w:trHeight w:val="745"/>
        </w:trPr>
        <w:tc>
          <w:tcPr>
            <w:tcW w:w="1980" w:type="dxa"/>
            <w:vMerge w:val="restart"/>
            <w:vAlign w:val="center"/>
          </w:tcPr>
          <w:p w14:paraId="3EF67708" w14:textId="0D2CBA50" w:rsidR="00A00C84" w:rsidRPr="00E86960" w:rsidRDefault="00A00C84" w:rsidP="00A00C84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</w:tabs>
              <w:jc w:val="left"/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</w:pP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Până la </w:t>
            </w:r>
            <w:r w:rsidRPr="005D7572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>10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 000 </w:t>
            </w:r>
            <w:r w:rsidRPr="005D7572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>lei</w:t>
            </w:r>
          </w:p>
          <w:p w14:paraId="10414713" w14:textId="77777777" w:rsidR="00A00C84" w:rsidRPr="005D7572" w:rsidRDefault="00A00C84" w:rsidP="00A00C84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500DE1F8" w14:textId="77777777" w:rsidR="005D7572" w:rsidRDefault="00A00C84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0,50 %</w:t>
            </w:r>
          </w:p>
          <w:p w14:paraId="33505D39" w14:textId="1C99139F" w:rsidR="00A00C84" w:rsidRPr="005D7572" w:rsidRDefault="00A00C84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(</w:t>
            </w:r>
            <w:r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categoria I MCC</w:t>
            </w:r>
            <w:r w:rsidR="00E871C8">
              <w:rPr>
                <w:rStyle w:val="FootnoteReference"/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footnoteReference w:id="4"/>
            </w:r>
            <w:r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)</w:t>
            </w:r>
          </w:p>
        </w:tc>
        <w:tc>
          <w:tcPr>
            <w:tcW w:w="1984" w:type="dxa"/>
            <w:vAlign w:val="center"/>
          </w:tcPr>
          <w:p w14:paraId="3E5DB8B4" w14:textId="77777777" w:rsidR="005D7572" w:rsidRDefault="00A00C84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0,10 % </w:t>
            </w:r>
          </w:p>
          <w:p w14:paraId="6DD95202" w14:textId="241E6D8E" w:rsidR="00A00C84" w:rsidRPr="005D7572" w:rsidRDefault="00A00C84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(</w:t>
            </w:r>
            <w:r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categoria I MCC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)</w:t>
            </w:r>
          </w:p>
        </w:tc>
        <w:tc>
          <w:tcPr>
            <w:tcW w:w="3113" w:type="dxa"/>
            <w:vAlign w:val="center"/>
          </w:tcPr>
          <w:p w14:paraId="1E281502" w14:textId="7802EC91" w:rsidR="00D4598F" w:rsidRDefault="00A00C84" w:rsidP="004514F8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851"/>
                <w:tab w:val="left" w:pos="886"/>
                <w:tab w:val="left" w:pos="2268"/>
              </w:tabs>
              <w:spacing w:before="0"/>
              <w:ind w:left="886" w:hanging="886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0,01</w:t>
            </w:r>
            <w:r w:rsid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% -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CC0937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de la participantul</w:t>
            </w:r>
            <w:r w:rsidR="00D4598F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plătitor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             </w:t>
            </w:r>
          </w:p>
          <w:p w14:paraId="6CAB7820" w14:textId="01CA90AC" w:rsidR="00A00C84" w:rsidRDefault="00A00C84" w:rsidP="00D4598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851"/>
                <w:tab w:val="left" w:pos="886"/>
                <w:tab w:val="left" w:pos="2268"/>
              </w:tabs>
              <w:spacing w:before="0"/>
              <w:ind w:left="886" w:hanging="886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0,04 % -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de la participantul beneficiar</w:t>
            </w:r>
          </w:p>
          <w:p w14:paraId="2D152BD3" w14:textId="5535F4B5" w:rsidR="005D7572" w:rsidRPr="005D7572" w:rsidRDefault="002F7646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(</w:t>
            </w:r>
            <w:r w:rsidR="005D7572"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categoria I MCC)</w:t>
            </w:r>
          </w:p>
        </w:tc>
      </w:tr>
      <w:tr w:rsidR="00A00C84" w14:paraId="72C4F770" w14:textId="77777777" w:rsidTr="004514F8">
        <w:trPr>
          <w:trHeight w:val="812"/>
        </w:trPr>
        <w:tc>
          <w:tcPr>
            <w:tcW w:w="1980" w:type="dxa"/>
            <w:vMerge/>
          </w:tcPr>
          <w:p w14:paraId="11B54AAD" w14:textId="77777777" w:rsidR="00A00C84" w:rsidRPr="005D7572" w:rsidRDefault="00A00C84" w:rsidP="00A00C84">
            <w:pPr>
              <w:pStyle w:val="Punct"/>
              <w:numPr>
                <w:ilvl w:val="0"/>
                <w:numId w:val="0"/>
              </w:numPr>
              <w:tabs>
                <w:tab w:val="left" w:pos="0"/>
                <w:tab w:val="left" w:pos="851"/>
              </w:tabs>
              <w:rPr>
                <w:rFonts w:ascii="PermianSerifTypeface" w:hAnsi="PermianSerifTypeface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64880333" w14:textId="77777777" w:rsidR="005D7572" w:rsidRDefault="005D7572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0,70 % </w:t>
            </w:r>
          </w:p>
          <w:p w14:paraId="72FE7881" w14:textId="3FA2D311" w:rsidR="00A00C84" w:rsidRPr="005D7572" w:rsidRDefault="005D7572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(categoria II MCC)</w:t>
            </w:r>
          </w:p>
        </w:tc>
        <w:tc>
          <w:tcPr>
            <w:tcW w:w="1984" w:type="dxa"/>
            <w:vAlign w:val="center"/>
          </w:tcPr>
          <w:p w14:paraId="5345496B" w14:textId="77777777" w:rsidR="005D7572" w:rsidRDefault="005D7572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0,15 % </w:t>
            </w:r>
          </w:p>
          <w:p w14:paraId="4461FDB3" w14:textId="430C8B35" w:rsidR="00A00C84" w:rsidRPr="005D7572" w:rsidRDefault="005D7572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(</w:t>
            </w:r>
            <w:r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categoria II MCC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)</w:t>
            </w:r>
          </w:p>
        </w:tc>
        <w:tc>
          <w:tcPr>
            <w:tcW w:w="3113" w:type="dxa"/>
            <w:vAlign w:val="center"/>
          </w:tcPr>
          <w:p w14:paraId="7A5BA015" w14:textId="6C6312C6" w:rsidR="00D4598F" w:rsidRDefault="005D7572" w:rsidP="00D4598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86"/>
                <w:tab w:val="left" w:pos="2268"/>
              </w:tabs>
              <w:spacing w:before="0"/>
              <w:ind w:left="886" w:hanging="886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0,0</w:t>
            </w:r>
            <w:r w:rsidR="00D73FC8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2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% - </w:t>
            </w:r>
            <w:r w:rsidR="00CC0937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de la participantul </w:t>
            </w:r>
            <w:r w:rsidR="00D4598F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plătitor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    </w:t>
            </w:r>
          </w:p>
          <w:p w14:paraId="48F8F9C7" w14:textId="2FD42101" w:rsidR="00D4598F" w:rsidRDefault="005D7572" w:rsidP="00D4598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ind w:left="886" w:hanging="886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0,0</w:t>
            </w:r>
            <w:r w:rsidR="00D73FC8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6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% - </w:t>
            </w:r>
            <w:r w:rsidR="00CC0937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de la participantul</w:t>
            </w:r>
          </w:p>
          <w:p w14:paraId="093CE6CA" w14:textId="12D8AFE8" w:rsidR="00A00C84" w:rsidRDefault="00D4598F" w:rsidP="00D4598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86"/>
                <w:tab w:val="left" w:pos="2268"/>
              </w:tabs>
              <w:spacing w:before="0"/>
              <w:ind w:left="886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b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eneficiar</w:t>
            </w:r>
          </w:p>
          <w:p w14:paraId="2761ECC5" w14:textId="03C13B31" w:rsidR="005D7572" w:rsidRPr="005D7572" w:rsidRDefault="002F7646" w:rsidP="002F764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481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(</w:t>
            </w:r>
            <w:r w:rsidR="005D7572"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categoria I</w:t>
            </w:r>
            <w:r w:rsid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I</w:t>
            </w:r>
            <w:r w:rsidR="005D7572"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 xml:space="preserve"> MCC)</w:t>
            </w:r>
          </w:p>
        </w:tc>
      </w:tr>
      <w:tr w:rsidR="00A00C84" w14:paraId="07614A1E" w14:textId="77777777" w:rsidTr="004514F8">
        <w:trPr>
          <w:trHeight w:val="834"/>
        </w:trPr>
        <w:tc>
          <w:tcPr>
            <w:tcW w:w="1980" w:type="dxa"/>
            <w:vMerge/>
          </w:tcPr>
          <w:p w14:paraId="731AF5E3" w14:textId="77777777" w:rsidR="00A00C84" w:rsidRPr="005D7572" w:rsidRDefault="00A00C84" w:rsidP="00A00C84">
            <w:pPr>
              <w:pStyle w:val="Punct"/>
              <w:numPr>
                <w:ilvl w:val="0"/>
                <w:numId w:val="0"/>
              </w:numPr>
              <w:tabs>
                <w:tab w:val="left" w:pos="0"/>
                <w:tab w:val="left" w:pos="851"/>
              </w:tabs>
              <w:rPr>
                <w:rFonts w:ascii="PermianSerifTypeface" w:hAnsi="PermianSerifTypeface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6C57FDA6" w14:textId="5DE88DFB" w:rsidR="00A00C84" w:rsidRPr="005D7572" w:rsidRDefault="005D7572" w:rsidP="004514F8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>la discreția PSP acceptant    (</w:t>
            </w:r>
            <w:r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</w:rPr>
              <w:t>categoria III MCC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12368957" w14:textId="513F921D" w:rsidR="005D7572" w:rsidRDefault="005D7572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0,50 %</w:t>
            </w:r>
          </w:p>
          <w:p w14:paraId="06AAB0A2" w14:textId="50EF9511" w:rsidR="00A00C84" w:rsidRPr="005D7572" w:rsidRDefault="005D7572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(</w:t>
            </w:r>
            <w:r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categoria III MCC)</w:t>
            </w:r>
          </w:p>
        </w:tc>
        <w:tc>
          <w:tcPr>
            <w:tcW w:w="3113" w:type="dxa"/>
            <w:vAlign w:val="center"/>
          </w:tcPr>
          <w:p w14:paraId="21886CCF" w14:textId="233A6246" w:rsidR="00D4598F" w:rsidRDefault="005D7572" w:rsidP="00BE582E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602"/>
                <w:tab w:val="left" w:pos="2268"/>
              </w:tabs>
              <w:spacing w:before="0"/>
              <w:ind w:left="886" w:hanging="886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0,05 % - </w:t>
            </w:r>
            <w:r w:rsidR="00CC0937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de la participantul plătitor</w:t>
            </w:r>
            <w:r w:rsidR="00D4598F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76F9AA63" w14:textId="49BB409A" w:rsidR="00A00C84" w:rsidRDefault="005D7572" w:rsidP="004514F8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744"/>
                <w:tab w:val="left" w:pos="2268"/>
              </w:tabs>
              <w:spacing w:before="0"/>
              <w:ind w:left="886" w:hanging="886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0,15 % - </w:t>
            </w:r>
            <w:r w:rsidR="00CC0937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 </w:t>
            </w:r>
            <w:r w:rsidR="005535F1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de la participantul beneficiar</w:t>
            </w:r>
            <w:r w:rsidR="00D4598F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.</w:t>
            </w:r>
          </w:p>
          <w:p w14:paraId="5D46FCE8" w14:textId="2703EC3D" w:rsidR="005D7572" w:rsidRPr="005D7572" w:rsidRDefault="005D7572" w:rsidP="005D7572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(</w:t>
            </w:r>
            <w:r w:rsidRPr="005D7572"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  <w:t>categoria III MCC)</w:t>
            </w:r>
          </w:p>
        </w:tc>
      </w:tr>
    </w:tbl>
    <w:p w14:paraId="67CC8960" w14:textId="77777777" w:rsidR="00FC0EC9" w:rsidRDefault="00FC0EC9" w:rsidP="0068403E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  <w:tab w:val="left" w:pos="3828"/>
        </w:tabs>
        <w:spacing w:before="0"/>
        <w:ind w:left="142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</w:p>
    <w:p w14:paraId="2EB66918" w14:textId="6B3CE729" w:rsidR="0068403E" w:rsidRPr="001777B1" w:rsidRDefault="00BD64E9" w:rsidP="00CC31B8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 w:line="276" w:lineRule="auto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  <w:r w:rsidRPr="001777B1">
        <w:rPr>
          <w:rFonts w:ascii="PermianSerifTypeface" w:hAnsi="PermianSerifTypeface"/>
          <w:b/>
          <w:color w:val="000000" w:themeColor="text1"/>
          <w:lang w:val="ro-RO"/>
        </w:rPr>
        <w:t>Comisioanele percepute de Banca Națională a Moldovei și prestatorii de servicii de plată pentru plățile</w:t>
      </w:r>
      <w:r w:rsidR="00CC31B8" w:rsidRPr="001777B1">
        <w:rPr>
          <w:rFonts w:ascii="PermianSerifTypeface" w:hAnsi="PermianSerifTypeface"/>
          <w:b/>
          <w:color w:val="000000" w:themeColor="text1"/>
          <w:lang w:val="ro-RO"/>
        </w:rPr>
        <w:t xml:space="preserve"> P2G</w:t>
      </w:r>
      <w:r w:rsidRPr="001777B1">
        <w:rPr>
          <w:rFonts w:ascii="PermianSerifTypeface" w:hAnsi="PermianSerifTypeface"/>
          <w:b/>
          <w:color w:val="000000" w:themeColor="text1"/>
          <w:lang w:val="ro-RO"/>
        </w:rPr>
        <w:t xml:space="preserve"> procesate</w:t>
      </w:r>
      <w:r w:rsidRPr="001777B1">
        <w:rPr>
          <w:rFonts w:ascii="PermianSerifTypeface" w:hAnsi="PermianSerifTypeface"/>
          <w:b/>
          <w:bCs/>
          <w:color w:val="000000" w:themeColor="text1"/>
          <w:lang w:val="ro-RO"/>
        </w:rPr>
        <w:t xml:space="preserve"> în sistemul de plăți instant </w:t>
      </w:r>
    </w:p>
    <w:tbl>
      <w:tblPr>
        <w:tblStyle w:val="TableGrid"/>
        <w:tblpPr w:leftFromText="180" w:rightFromText="180" w:vertAnchor="text" w:horzAnchor="margin" w:tblpXSpec="center" w:tblpY="196"/>
        <w:tblW w:w="0" w:type="auto"/>
        <w:tblLook w:val="04A0" w:firstRow="1" w:lastRow="0" w:firstColumn="1" w:lastColumn="0" w:noHBand="0" w:noVBand="1"/>
      </w:tblPr>
      <w:tblGrid>
        <w:gridCol w:w="3613"/>
        <w:gridCol w:w="3402"/>
      </w:tblGrid>
      <w:tr w:rsidR="004514F8" w14:paraId="21D93269" w14:textId="77777777" w:rsidTr="002F7646">
        <w:trPr>
          <w:trHeight w:val="555"/>
        </w:trPr>
        <w:tc>
          <w:tcPr>
            <w:tcW w:w="3613" w:type="dxa"/>
            <w:shd w:val="clear" w:color="auto" w:fill="D0CECE" w:themeFill="background2" w:themeFillShade="E6"/>
            <w:vAlign w:val="center"/>
          </w:tcPr>
          <w:p w14:paraId="1661CF89" w14:textId="77777777" w:rsidR="004514F8" w:rsidRDefault="004514F8" w:rsidP="004514F8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Suma plății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1638459" w14:textId="77777777" w:rsidR="004514F8" w:rsidRPr="000E2706" w:rsidRDefault="004514F8" w:rsidP="004514F8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Comision perceput de BNM</w:t>
            </w:r>
          </w:p>
        </w:tc>
      </w:tr>
      <w:tr w:rsidR="004514F8" w14:paraId="470862BB" w14:textId="77777777" w:rsidTr="004514F8">
        <w:trPr>
          <w:trHeight w:val="611"/>
        </w:trPr>
        <w:tc>
          <w:tcPr>
            <w:tcW w:w="3613" w:type="dxa"/>
            <w:vAlign w:val="center"/>
          </w:tcPr>
          <w:p w14:paraId="246FA516" w14:textId="77777777" w:rsidR="004514F8" w:rsidRPr="005D7572" w:rsidRDefault="004514F8" w:rsidP="004514F8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</w:tabs>
              <w:jc w:val="left"/>
              <w:rPr>
                <w:rFonts w:ascii="PermianSerifTypeface" w:hAnsi="PermianSerifTypeface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Până la </w:t>
            </w:r>
            <w:r w:rsidRPr="005D7572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>10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E86960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 000 </w:t>
            </w:r>
            <w:r w:rsidRPr="005D7572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>lei</w:t>
            </w:r>
          </w:p>
        </w:tc>
        <w:tc>
          <w:tcPr>
            <w:tcW w:w="3402" w:type="dxa"/>
            <w:vAlign w:val="center"/>
          </w:tcPr>
          <w:p w14:paraId="6A1D06A5" w14:textId="77777777" w:rsidR="004514F8" w:rsidRDefault="004514F8" w:rsidP="002F764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0,0</w:t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5 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% </w:t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per tranzacție</w:t>
            </w:r>
          </w:p>
          <w:p w14:paraId="7694D6FB" w14:textId="3545BBA9" w:rsidR="004514F8" w:rsidRPr="0068403E" w:rsidRDefault="004514F8" w:rsidP="002F764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(</w:t>
            </w:r>
            <w:r w:rsidR="002F7646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de la participantul</w:t>
            </w:r>
            <w:r w:rsidRPr="005D7572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plătitor</w:t>
            </w:r>
            <w:r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)</w:t>
            </w:r>
          </w:p>
        </w:tc>
      </w:tr>
    </w:tbl>
    <w:p w14:paraId="26EA7D2F" w14:textId="77777777" w:rsidR="0068403E" w:rsidRDefault="0068403E" w:rsidP="0068403E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851"/>
        </w:tabs>
        <w:spacing w:before="0"/>
        <w:ind w:left="720" w:hanging="360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</w:p>
    <w:p w14:paraId="6349DC1A" w14:textId="77777777" w:rsidR="00814F8B" w:rsidRDefault="00814F8B" w:rsidP="00814F8B">
      <w:pPr>
        <w:tabs>
          <w:tab w:val="left" w:pos="851"/>
          <w:tab w:val="left" w:pos="993"/>
        </w:tabs>
        <w:rPr>
          <w:lang w:val="ro-RO"/>
        </w:rPr>
      </w:pPr>
    </w:p>
    <w:p w14:paraId="1BB0CDC3" w14:textId="77777777" w:rsidR="004514F8" w:rsidRDefault="004514F8" w:rsidP="001777B1">
      <w:pPr>
        <w:tabs>
          <w:tab w:val="left" w:pos="851"/>
          <w:tab w:val="left" w:pos="993"/>
        </w:tabs>
        <w:jc w:val="center"/>
        <w:rPr>
          <w:rFonts w:ascii="PermianSerifTypeface" w:hAnsi="PermianSerifTypeface" w:cs="Times New Roman"/>
          <w:b/>
          <w:color w:val="000000" w:themeColor="text1"/>
          <w:lang w:val="ro-RO"/>
        </w:rPr>
      </w:pPr>
    </w:p>
    <w:p w14:paraId="6DAA81E2" w14:textId="77777777" w:rsidR="004514F8" w:rsidRDefault="004514F8" w:rsidP="001777B1">
      <w:pPr>
        <w:tabs>
          <w:tab w:val="left" w:pos="851"/>
          <w:tab w:val="left" w:pos="993"/>
        </w:tabs>
        <w:jc w:val="center"/>
        <w:rPr>
          <w:rFonts w:ascii="PermianSerifTypeface" w:hAnsi="PermianSerifTypeface" w:cs="Times New Roman"/>
          <w:b/>
          <w:color w:val="000000" w:themeColor="text1"/>
          <w:lang w:val="ro-RO"/>
        </w:rPr>
      </w:pPr>
    </w:p>
    <w:p w14:paraId="20DA9B53" w14:textId="34219A21" w:rsidR="006B5379" w:rsidRPr="001777B1" w:rsidRDefault="001777B1" w:rsidP="001777B1">
      <w:pPr>
        <w:tabs>
          <w:tab w:val="left" w:pos="851"/>
          <w:tab w:val="left" w:pos="993"/>
        </w:tabs>
        <w:jc w:val="center"/>
        <w:rPr>
          <w:lang w:val="ro-RO"/>
        </w:rPr>
      </w:pPr>
      <w:r w:rsidRPr="001777B1">
        <w:rPr>
          <w:rFonts w:ascii="PermianSerifTypeface" w:hAnsi="PermianSerifTypeface" w:cs="Times New Roman"/>
          <w:b/>
          <w:color w:val="000000" w:themeColor="text1"/>
          <w:lang w:val="ro-RO"/>
        </w:rPr>
        <w:t xml:space="preserve">Comisioanele percepute de Banca Națională a Moldovei pentru </w:t>
      </w:r>
      <w:r w:rsidR="000F2145">
        <w:rPr>
          <w:rFonts w:ascii="PermianSerifTypeface" w:hAnsi="PermianSerifTypeface" w:cs="Times New Roman"/>
          <w:b/>
          <w:color w:val="000000" w:themeColor="text1"/>
          <w:lang w:val="ro-RO"/>
        </w:rPr>
        <w:t>servicii acordate</w:t>
      </w:r>
      <w:r w:rsidRPr="001777B1">
        <w:rPr>
          <w:rFonts w:ascii="PermianSerifTypeface" w:hAnsi="PermianSerifTypeface" w:cs="Times New Roman"/>
          <w:b/>
          <w:color w:val="000000" w:themeColor="text1"/>
          <w:lang w:val="ro-RO"/>
        </w:rPr>
        <w:t xml:space="preserve"> în sistemul de plăți interne</w:t>
      </w:r>
      <w:r w:rsidR="00D21CDA">
        <w:rPr>
          <w:rFonts w:ascii="PermianSerifTypeface" w:hAnsi="PermianSerifTypeface" w:cs="Times New Roman"/>
          <w:b/>
          <w:color w:val="000000" w:themeColor="text1"/>
          <w:lang w:val="ro-RO"/>
        </w:rPr>
        <w:t xml:space="preserve"> (SAPI)</w:t>
      </w:r>
    </w:p>
    <w:tbl>
      <w:tblPr>
        <w:tblStyle w:val="TableGrid"/>
        <w:tblpPr w:leftFromText="180" w:rightFromText="180" w:vertAnchor="text" w:horzAnchor="margin" w:tblpX="137" w:tblpY="13"/>
        <w:tblW w:w="920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6463"/>
        <w:gridCol w:w="2126"/>
      </w:tblGrid>
      <w:tr w:rsidR="00F23225" w:rsidRPr="00230530" w14:paraId="2B12322F" w14:textId="77777777" w:rsidTr="002F7646"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071128C3" w14:textId="77777777" w:rsidR="00F23225" w:rsidRPr="00CB754F" w:rsidRDefault="00F23225" w:rsidP="00435AE4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CB754F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6463" w:type="dxa"/>
            <w:shd w:val="clear" w:color="auto" w:fill="D9D9D9" w:themeFill="background1" w:themeFillShade="D9"/>
            <w:vAlign w:val="center"/>
          </w:tcPr>
          <w:p w14:paraId="38556362" w14:textId="77777777" w:rsidR="00F23225" w:rsidRPr="00CB754F" w:rsidRDefault="00F23225" w:rsidP="00435AE4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CB754F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Tipul comisionului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D27653" w14:textId="77777777" w:rsidR="00F23225" w:rsidRPr="00CB754F" w:rsidRDefault="00F23225" w:rsidP="00435AE4">
            <w:pPr>
              <w:pStyle w:val="NoSpacing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CB754F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Valoarea comisionului</w:t>
            </w:r>
          </w:p>
        </w:tc>
      </w:tr>
      <w:tr w:rsidR="00F23225" w:rsidRPr="00230530" w14:paraId="298D386E" w14:textId="77777777" w:rsidTr="002F7646">
        <w:trPr>
          <w:trHeight w:val="470"/>
        </w:trPr>
        <w:tc>
          <w:tcPr>
            <w:tcW w:w="620" w:type="dxa"/>
            <w:vAlign w:val="center"/>
          </w:tcPr>
          <w:p w14:paraId="07B35EEE" w14:textId="5CC94644" w:rsidR="00F23225" w:rsidRPr="00230530" w:rsidRDefault="001777B1" w:rsidP="002F7646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1</w:t>
            </w:r>
            <w:r w:rsidR="00F23225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.</w:t>
            </w:r>
          </w:p>
        </w:tc>
        <w:tc>
          <w:tcPr>
            <w:tcW w:w="6463" w:type="dxa"/>
            <w:vAlign w:val="center"/>
          </w:tcPr>
          <w:p w14:paraId="074D7627" w14:textId="0624588D" w:rsidR="00F23225" w:rsidRPr="00230530" w:rsidRDefault="00F23225" w:rsidP="002F7646">
            <w:pPr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Comisionul pentru</w:t>
            </w:r>
            <w:r w:rsidRPr="00230530">
              <w:rPr>
                <w:lang w:val="ro-RO"/>
              </w:rPr>
              <w:t xml:space="preserve"> 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înregistrarea fiecărui BIC nou/adițional (participant/sucursală a participantului), eliminarea celui existent</w:t>
            </w:r>
          </w:p>
        </w:tc>
        <w:tc>
          <w:tcPr>
            <w:tcW w:w="2126" w:type="dxa"/>
            <w:vAlign w:val="center"/>
          </w:tcPr>
          <w:p w14:paraId="41BA77A8" w14:textId="77777777" w:rsidR="00F23225" w:rsidRPr="00230530" w:rsidRDefault="00F23225" w:rsidP="001777B1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1</w:t>
            </w: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0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00 lei</w:t>
            </w:r>
          </w:p>
        </w:tc>
      </w:tr>
      <w:tr w:rsidR="00F23225" w:rsidRPr="00230530" w14:paraId="325DCE6A" w14:textId="77777777" w:rsidTr="002F7646">
        <w:trPr>
          <w:trHeight w:val="113"/>
        </w:trPr>
        <w:tc>
          <w:tcPr>
            <w:tcW w:w="620" w:type="dxa"/>
            <w:vAlign w:val="center"/>
          </w:tcPr>
          <w:p w14:paraId="29BAA9FB" w14:textId="014DCA78" w:rsidR="00F23225" w:rsidRPr="00230530" w:rsidRDefault="001777B1" w:rsidP="002F7646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2</w:t>
            </w:r>
            <w:r w:rsidR="00F23225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.</w:t>
            </w:r>
          </w:p>
        </w:tc>
        <w:tc>
          <w:tcPr>
            <w:tcW w:w="6463" w:type="dxa"/>
            <w:vAlign w:val="center"/>
          </w:tcPr>
          <w:p w14:paraId="7917C9BD" w14:textId="77777777" w:rsidR="00F23225" w:rsidRPr="00230530" w:rsidRDefault="00F23225" w:rsidP="002F7646">
            <w:pPr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Comisionul pentru organizarea sesiunilor de instruire pentru utilizatori</w:t>
            </w:r>
          </w:p>
        </w:tc>
        <w:tc>
          <w:tcPr>
            <w:tcW w:w="2126" w:type="dxa"/>
            <w:vAlign w:val="center"/>
          </w:tcPr>
          <w:p w14:paraId="20A34369" w14:textId="0D12DE10" w:rsidR="00F23225" w:rsidRPr="00230530" w:rsidRDefault="00F23225" w:rsidP="001777B1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A10784">
              <w:rPr>
                <w:rFonts w:ascii="PermianSerifTypeface" w:hAnsi="PermianSerifTypeface"/>
                <w:sz w:val="20"/>
                <w:szCs w:val="20"/>
                <w:lang w:val="ro-RO"/>
              </w:rPr>
              <w:t>stabilit pe baza antecalculației de cost</w:t>
            </w:r>
          </w:p>
        </w:tc>
      </w:tr>
      <w:tr w:rsidR="00F23225" w:rsidRPr="00230530" w14:paraId="3684EDE2" w14:textId="77777777" w:rsidTr="002F7646">
        <w:trPr>
          <w:trHeight w:val="113"/>
        </w:trPr>
        <w:tc>
          <w:tcPr>
            <w:tcW w:w="620" w:type="dxa"/>
            <w:vAlign w:val="center"/>
          </w:tcPr>
          <w:p w14:paraId="53C485FC" w14:textId="0862F3F8" w:rsidR="00F23225" w:rsidRPr="00230530" w:rsidRDefault="001777B1" w:rsidP="002F7646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3</w:t>
            </w:r>
            <w:r w:rsidR="00F23225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.</w:t>
            </w:r>
          </w:p>
        </w:tc>
        <w:tc>
          <w:tcPr>
            <w:tcW w:w="6463" w:type="dxa"/>
            <w:vAlign w:val="center"/>
          </w:tcPr>
          <w:p w14:paraId="3554E758" w14:textId="77777777" w:rsidR="00F23225" w:rsidRPr="00230530" w:rsidRDefault="00F23225" w:rsidP="002F7646">
            <w:pPr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Comisionul pentru modificarea programului zilei operaționale în </w:t>
            </w: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sistemul automatizat de plăți interne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(cu excepția solicitării din partea BNM)</w:t>
            </w:r>
          </w:p>
        </w:tc>
        <w:tc>
          <w:tcPr>
            <w:tcW w:w="2126" w:type="dxa"/>
            <w:vAlign w:val="center"/>
          </w:tcPr>
          <w:p w14:paraId="153BE9CC" w14:textId="77777777" w:rsidR="00F23225" w:rsidRPr="00230530" w:rsidRDefault="00F23225" w:rsidP="001777B1">
            <w:pPr>
              <w:spacing w:line="360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5</w:t>
            </w: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000 lei</w:t>
            </w:r>
          </w:p>
        </w:tc>
      </w:tr>
      <w:tr w:rsidR="00F23225" w:rsidRPr="00230530" w14:paraId="6E9F3164" w14:textId="77777777" w:rsidTr="002F7646">
        <w:trPr>
          <w:trHeight w:val="527"/>
        </w:trPr>
        <w:tc>
          <w:tcPr>
            <w:tcW w:w="620" w:type="dxa"/>
            <w:vAlign w:val="center"/>
          </w:tcPr>
          <w:p w14:paraId="24A6C87A" w14:textId="7C7B6D5F" w:rsidR="00F23225" w:rsidRPr="00230530" w:rsidRDefault="001777B1" w:rsidP="002F7646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o-RO"/>
              </w:rPr>
              <w:t>4</w:t>
            </w:r>
            <w:r w:rsidR="00F23225"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.</w:t>
            </w:r>
          </w:p>
        </w:tc>
        <w:tc>
          <w:tcPr>
            <w:tcW w:w="6463" w:type="dxa"/>
            <w:vAlign w:val="center"/>
          </w:tcPr>
          <w:p w14:paraId="2D65ADD7" w14:textId="77777777" w:rsidR="00F23225" w:rsidRPr="00230530" w:rsidRDefault="00F23225" w:rsidP="002F7646">
            <w:pPr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230530">
              <w:rPr>
                <w:rFonts w:ascii="PermianSerifTypeface" w:hAnsi="PermianSerifTypeface"/>
                <w:sz w:val="20"/>
                <w:szCs w:val="20"/>
                <w:lang w:val="ro-RO"/>
              </w:rPr>
              <w:t>Comisionul pentru furnizarea de către BNM a unor rapoarte personalizate</w:t>
            </w:r>
          </w:p>
        </w:tc>
        <w:tc>
          <w:tcPr>
            <w:tcW w:w="2126" w:type="dxa"/>
            <w:vAlign w:val="center"/>
          </w:tcPr>
          <w:p w14:paraId="30CAC974" w14:textId="27DDBDB7" w:rsidR="00F23225" w:rsidRPr="00230530" w:rsidRDefault="00F23225" w:rsidP="001777B1">
            <w:pPr>
              <w:pStyle w:val="NoSpacing"/>
              <w:jc w:val="center"/>
              <w:rPr>
                <w:lang w:val="ro-RO"/>
              </w:rPr>
            </w:pPr>
            <w:r w:rsidRPr="00A10784">
              <w:rPr>
                <w:rFonts w:ascii="PermianSerifTypeface" w:hAnsi="PermianSerifTypeface"/>
                <w:sz w:val="20"/>
                <w:szCs w:val="20"/>
                <w:lang w:val="ro-RO"/>
              </w:rPr>
              <w:t>stabilit pe baza antecalculației de cost</w:t>
            </w:r>
          </w:p>
        </w:tc>
      </w:tr>
    </w:tbl>
    <w:p w14:paraId="0AC5E88D" w14:textId="77777777" w:rsidR="00F23225" w:rsidRPr="00F23225" w:rsidRDefault="00F23225" w:rsidP="00814F8B">
      <w:pPr>
        <w:tabs>
          <w:tab w:val="left" w:pos="851"/>
          <w:tab w:val="left" w:pos="993"/>
        </w:tabs>
      </w:pPr>
    </w:p>
    <w:p w14:paraId="122F44CD" w14:textId="378973FF" w:rsidR="00814F8B" w:rsidRPr="0013376C" w:rsidRDefault="00814F8B" w:rsidP="000E48C5">
      <w:pPr>
        <w:pStyle w:val="ListParagraph"/>
        <w:numPr>
          <w:ilvl w:val="0"/>
          <w:numId w:val="20"/>
        </w:numPr>
        <w:tabs>
          <w:tab w:val="left" w:pos="851"/>
          <w:tab w:val="left" w:pos="993"/>
        </w:tabs>
      </w:pPr>
      <w:r w:rsidRPr="007E6799">
        <w:rPr>
          <w:rFonts w:ascii="PermianSerifTypeface" w:hAnsi="PermianSerifTypeface"/>
          <w:bCs/>
          <w:lang w:val="ro-RO"/>
        </w:rPr>
        <w:t xml:space="preserve">Prezenta hotărâre intră în vigoare la data de </w:t>
      </w:r>
      <w:r w:rsidR="00D73FC8" w:rsidRPr="007E6799">
        <w:rPr>
          <w:rFonts w:ascii="PermianSerifTypeface" w:hAnsi="PermianSerifTypeface"/>
          <w:bCs/>
          <w:lang w:val="ro-RO"/>
        </w:rPr>
        <w:t xml:space="preserve">01 februarie </w:t>
      </w:r>
      <w:r w:rsidRPr="007E6799">
        <w:rPr>
          <w:rFonts w:ascii="PermianSerifTypeface" w:hAnsi="PermianSerifTypeface"/>
          <w:bCs/>
          <w:lang w:val="ro-RO"/>
        </w:rPr>
        <w:t>2024.</w:t>
      </w:r>
    </w:p>
    <w:sectPr w:rsidR="00814F8B" w:rsidRPr="0013376C" w:rsidSect="008E0D2D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7" w:h="16840" w:code="9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0B05F" w14:textId="77777777" w:rsidR="00D87AEA" w:rsidRDefault="00D87AEA" w:rsidP="007146FC">
      <w:pPr>
        <w:spacing w:after="0" w:line="240" w:lineRule="auto"/>
      </w:pPr>
      <w:r>
        <w:separator/>
      </w:r>
    </w:p>
  </w:endnote>
  <w:endnote w:type="continuationSeparator" w:id="0">
    <w:p w14:paraId="2DC2DEC5" w14:textId="77777777" w:rsidR="00D87AEA" w:rsidRDefault="00D87AEA" w:rsidP="0071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A56AF" w14:textId="77777777" w:rsidR="007146FC" w:rsidRDefault="007146FC" w:rsidP="007146FC">
    <w:pPr>
      <w:pStyle w:val="Footer"/>
      <w:jc w:val="center"/>
    </w:pPr>
    <w:bookmarkStart w:id="4" w:name="TITUS1FooterEvenPages"/>
    <w:r>
      <w:t xml:space="preserve"> </w:t>
    </w:r>
  </w:p>
  <w:p w14:paraId="553C7587" w14:textId="77777777" w:rsidR="007146FC" w:rsidRDefault="007146FC" w:rsidP="007146FC">
    <w:pPr>
      <w:pStyle w:val="Footer"/>
    </w:pPr>
    <w:r>
      <w:t xml:space="preserve"> </w:t>
    </w:r>
  </w:p>
  <w:bookmarkEnd w:id="4"/>
  <w:p w14:paraId="0B75A2EC" w14:textId="77777777" w:rsidR="007146FC" w:rsidRDefault="00714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0E4B" w14:textId="77777777" w:rsidR="007146FC" w:rsidRDefault="007146FC" w:rsidP="007146FC">
    <w:pPr>
      <w:pStyle w:val="Footer"/>
      <w:jc w:val="center"/>
    </w:pPr>
    <w:bookmarkStart w:id="5" w:name="TITUS1FooterPrimary"/>
    <w:r>
      <w:t xml:space="preserve"> </w:t>
    </w:r>
  </w:p>
  <w:p w14:paraId="4BB63C4C" w14:textId="77777777" w:rsidR="007146FC" w:rsidRDefault="007146FC" w:rsidP="007146FC">
    <w:pPr>
      <w:pStyle w:val="Footer"/>
    </w:pPr>
    <w:r>
      <w:t xml:space="preserve"> </w:t>
    </w:r>
  </w:p>
  <w:bookmarkEnd w:id="5"/>
  <w:p w14:paraId="2933FC6A" w14:textId="77777777" w:rsidR="007146FC" w:rsidRDefault="00714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1794" w14:textId="77777777" w:rsidR="00D87AEA" w:rsidRDefault="00D87AEA" w:rsidP="007146FC">
      <w:pPr>
        <w:spacing w:after="0" w:line="240" w:lineRule="auto"/>
      </w:pPr>
      <w:r>
        <w:separator/>
      </w:r>
    </w:p>
  </w:footnote>
  <w:footnote w:type="continuationSeparator" w:id="0">
    <w:p w14:paraId="486184C3" w14:textId="77777777" w:rsidR="00D87AEA" w:rsidRDefault="00D87AEA" w:rsidP="007146FC">
      <w:pPr>
        <w:spacing w:after="0" w:line="240" w:lineRule="auto"/>
      </w:pPr>
      <w:r>
        <w:continuationSeparator/>
      </w:r>
    </w:p>
  </w:footnote>
  <w:footnote w:id="1">
    <w:p w14:paraId="2F14ADCA" w14:textId="6642DB25" w:rsidR="00BD5C8F" w:rsidRPr="00D80C5C" w:rsidRDefault="00BD5C8F" w:rsidP="00FC0EC9">
      <w:pPr>
        <w:pStyle w:val="FootnoteText"/>
        <w:jc w:val="both"/>
        <w:rPr>
          <w:rFonts w:ascii="PermianSerifTypeface" w:hAnsi="PermianSerifTypeface"/>
          <w:sz w:val="16"/>
          <w:szCs w:val="16"/>
          <w:lang w:val="ro-RO"/>
        </w:rPr>
      </w:pPr>
      <w:r w:rsidRPr="00D80C5C">
        <w:rPr>
          <w:rStyle w:val="FootnoteReference"/>
          <w:rFonts w:ascii="PermianSerifTypeface" w:hAnsi="PermianSerifTypeface"/>
          <w:sz w:val="16"/>
          <w:szCs w:val="16"/>
          <w:lang w:val="ro-RO"/>
        </w:rPr>
        <w:footnoteRef/>
      </w:r>
      <w:r w:rsidRPr="00D80C5C">
        <w:rPr>
          <w:rFonts w:ascii="PermianSerifTypeface" w:hAnsi="PermianSerifTypeface"/>
          <w:sz w:val="16"/>
          <w:szCs w:val="16"/>
          <w:lang w:val="ro-RO"/>
        </w:rPr>
        <w:t xml:space="preserve"> P2P - transferuri inițiate de către participanți în numele clienților persoane fizice în adresa altor clienți persoane fizice</w:t>
      </w:r>
    </w:p>
  </w:footnote>
  <w:footnote w:id="2">
    <w:p w14:paraId="4F15C57C" w14:textId="2DDE11CE" w:rsidR="00FC0EC9" w:rsidRPr="00D80C5C" w:rsidRDefault="00FC0EC9" w:rsidP="00FC0EC9">
      <w:pPr>
        <w:pStyle w:val="FootnoteText"/>
        <w:jc w:val="both"/>
        <w:rPr>
          <w:rFonts w:ascii="PermianSerifTypeface" w:hAnsi="PermianSerifTypeface"/>
          <w:sz w:val="16"/>
          <w:szCs w:val="16"/>
          <w:lang w:val="ro-RO"/>
        </w:rPr>
      </w:pPr>
      <w:r w:rsidRPr="00D80C5C">
        <w:rPr>
          <w:rStyle w:val="FootnoteReference"/>
          <w:rFonts w:ascii="PermianSerifTypeface" w:hAnsi="PermianSerifTypeface"/>
          <w:sz w:val="16"/>
          <w:szCs w:val="16"/>
          <w:lang w:val="ro-RO"/>
        </w:rPr>
        <w:footnoteRef/>
      </w:r>
      <w:r w:rsidRPr="00D80C5C">
        <w:rPr>
          <w:rFonts w:ascii="PermianSerifTypeface" w:hAnsi="PermianSerifTypeface"/>
          <w:sz w:val="16"/>
          <w:szCs w:val="16"/>
          <w:lang w:val="ro-RO"/>
        </w:rPr>
        <w:t xml:space="preserve"> P2B - transferuri inițiate de către participanți în numele clienților persoane fizice în adresa altor clienți persoane juridice</w:t>
      </w:r>
    </w:p>
  </w:footnote>
  <w:footnote w:id="3">
    <w:p w14:paraId="7E4B038A" w14:textId="3B5DCCE0" w:rsidR="00FC0EC9" w:rsidRPr="00D80C5C" w:rsidRDefault="00FC0EC9" w:rsidP="00FC0EC9">
      <w:pPr>
        <w:pStyle w:val="FootnoteText"/>
        <w:jc w:val="both"/>
        <w:rPr>
          <w:rFonts w:ascii="PermianSerifTypeface" w:hAnsi="PermianSerifTypeface"/>
          <w:sz w:val="16"/>
          <w:szCs w:val="16"/>
          <w:lang w:val="ro-RO"/>
        </w:rPr>
      </w:pPr>
      <w:r w:rsidRPr="00D80C5C">
        <w:rPr>
          <w:rStyle w:val="FootnoteReference"/>
          <w:rFonts w:ascii="PermianSerifTypeface" w:hAnsi="PermianSerifTypeface"/>
          <w:sz w:val="16"/>
          <w:szCs w:val="16"/>
          <w:lang w:val="ro-RO"/>
        </w:rPr>
        <w:footnoteRef/>
      </w:r>
      <w:r w:rsidRPr="00D80C5C">
        <w:rPr>
          <w:rFonts w:ascii="PermianSerifTypeface" w:hAnsi="PermianSerifTypeface"/>
          <w:sz w:val="16"/>
          <w:szCs w:val="16"/>
          <w:lang w:val="ro-RO"/>
        </w:rPr>
        <w:t xml:space="preserve"> P2G - transferuri aferente plăților bugetare inițiate de către participanți în numele clienților persoane fizice</w:t>
      </w:r>
    </w:p>
  </w:footnote>
  <w:footnote w:id="4">
    <w:p w14:paraId="37928DC8" w14:textId="66F14511" w:rsidR="00E871C8" w:rsidRPr="00D80C5C" w:rsidRDefault="00E871C8" w:rsidP="009B0A9D">
      <w:pPr>
        <w:pStyle w:val="FootnoteText"/>
        <w:jc w:val="both"/>
        <w:rPr>
          <w:rFonts w:ascii="PermianSerifTypeface" w:hAnsi="PermianSerifTypeface"/>
          <w:sz w:val="16"/>
          <w:szCs w:val="16"/>
          <w:lang w:val="ro-RO"/>
        </w:rPr>
      </w:pPr>
      <w:r w:rsidRPr="00D80C5C">
        <w:rPr>
          <w:rStyle w:val="FootnoteReference"/>
          <w:rFonts w:ascii="PermianSerifTypeface" w:hAnsi="PermianSerifTypeface"/>
          <w:sz w:val="16"/>
          <w:szCs w:val="16"/>
          <w:lang w:val="ro-RO"/>
        </w:rPr>
        <w:footnoteRef/>
      </w:r>
      <w:r w:rsidRPr="00D80C5C">
        <w:rPr>
          <w:rFonts w:ascii="PermianSerifTypeface" w:hAnsi="PermianSerifTypeface"/>
          <w:sz w:val="16"/>
          <w:szCs w:val="16"/>
          <w:lang w:val="ro-RO"/>
        </w:rPr>
        <w:t xml:space="preserve"> MCC</w:t>
      </w:r>
      <w:r w:rsidR="00705A03">
        <w:rPr>
          <w:rFonts w:ascii="PermianSerifTypeface" w:hAnsi="PermianSerifTypeface"/>
          <w:sz w:val="16"/>
          <w:szCs w:val="16"/>
          <w:lang w:val="ro-RO"/>
        </w:rPr>
        <w:t>/categorie</w:t>
      </w:r>
      <w:r w:rsidR="001B3663" w:rsidRPr="00D80C5C">
        <w:rPr>
          <w:rFonts w:ascii="PermianSerifTypeface" w:hAnsi="PermianSerifTypeface"/>
          <w:sz w:val="16"/>
          <w:szCs w:val="16"/>
          <w:lang w:val="ro-RO"/>
        </w:rPr>
        <w:t xml:space="preserve"> – lista </w:t>
      </w:r>
      <w:r w:rsidR="00DE6123" w:rsidRPr="00D80C5C">
        <w:rPr>
          <w:rFonts w:ascii="PermianSerifTypeface" w:hAnsi="PermianSerifTypeface"/>
          <w:sz w:val="16"/>
          <w:szCs w:val="16"/>
          <w:lang w:val="ro-RO"/>
        </w:rPr>
        <w:t>codu</w:t>
      </w:r>
      <w:r w:rsidR="001B3663" w:rsidRPr="00D80C5C">
        <w:rPr>
          <w:rFonts w:ascii="PermianSerifTypeface" w:hAnsi="PermianSerifTypeface"/>
          <w:sz w:val="16"/>
          <w:szCs w:val="16"/>
          <w:lang w:val="ro-RO"/>
        </w:rPr>
        <w:t>rilor</w:t>
      </w:r>
      <w:r w:rsidR="00DE6123" w:rsidRPr="00D80C5C">
        <w:rPr>
          <w:rFonts w:ascii="PermianSerifTypeface" w:hAnsi="PermianSerifTypeface"/>
          <w:sz w:val="16"/>
          <w:szCs w:val="16"/>
          <w:lang w:val="ro-RO"/>
        </w:rPr>
        <w:t xml:space="preserve"> </w:t>
      </w:r>
      <w:r w:rsidR="000E1B10" w:rsidRPr="00705A03">
        <w:rPr>
          <w:rFonts w:ascii="PermianSerifTypeface" w:hAnsi="PermianSerifTypeface"/>
          <w:sz w:val="16"/>
          <w:szCs w:val="16"/>
          <w:lang w:val="ro-MD"/>
        </w:rPr>
        <w:t>comercian</w:t>
      </w:r>
      <w:r w:rsidR="00705A03" w:rsidRPr="00705A03">
        <w:rPr>
          <w:rFonts w:ascii="PermianSerifTypeface" w:hAnsi="PermianSerifTypeface"/>
          <w:sz w:val="16"/>
          <w:szCs w:val="16"/>
          <w:lang w:val="ro-MD"/>
        </w:rPr>
        <w:t xml:space="preserve">ților </w:t>
      </w:r>
      <w:r w:rsidR="00705A03">
        <w:rPr>
          <w:rFonts w:ascii="PermianSerifTypeface" w:hAnsi="PermianSerifTypeface"/>
          <w:sz w:val="16"/>
          <w:szCs w:val="16"/>
          <w:lang w:val="ro-MD"/>
        </w:rPr>
        <w:t xml:space="preserve">și </w:t>
      </w:r>
      <w:r w:rsidR="00705A03">
        <w:rPr>
          <w:rFonts w:ascii="PermianSerifTypeface" w:hAnsi="PermianSerifTypeface"/>
          <w:sz w:val="16"/>
          <w:szCs w:val="16"/>
          <w:lang w:val="ro-RO"/>
        </w:rPr>
        <w:t>clasificarea pe</w:t>
      </w:r>
      <w:r w:rsidR="001B3663" w:rsidRPr="00D80C5C">
        <w:rPr>
          <w:rFonts w:ascii="PermianSerifTypeface" w:hAnsi="PermianSerifTypeface"/>
          <w:sz w:val="16"/>
          <w:szCs w:val="16"/>
          <w:lang w:val="ro-RO"/>
        </w:rPr>
        <w:t xml:space="preserve"> </w:t>
      </w:r>
      <w:r w:rsidR="00705A03" w:rsidRPr="00D80C5C">
        <w:rPr>
          <w:rFonts w:ascii="PermianSerifTypeface" w:hAnsi="PermianSerifTypeface"/>
          <w:sz w:val="16"/>
          <w:szCs w:val="16"/>
          <w:lang w:val="ro-RO"/>
        </w:rPr>
        <w:t xml:space="preserve">categorii </w:t>
      </w:r>
      <w:r w:rsidR="001B3663" w:rsidRPr="00D80C5C">
        <w:rPr>
          <w:rFonts w:ascii="PermianSerifTypeface" w:hAnsi="PermianSerifTypeface"/>
          <w:sz w:val="16"/>
          <w:szCs w:val="16"/>
          <w:lang w:val="ro-RO"/>
        </w:rPr>
        <w:t>este inclusă în Cerințele funcționale și tehnice pentru participanții SAPI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67AA" w14:textId="77777777" w:rsidR="007146FC" w:rsidRDefault="007146FC" w:rsidP="007146FC">
    <w:pPr>
      <w:pStyle w:val="Header"/>
      <w:jc w:val="right"/>
    </w:pPr>
    <w:bookmarkStart w:id="2" w:name="TITUS1HeaderEvenPages"/>
    <w:r>
      <w:t xml:space="preserve"> </w:t>
    </w:r>
  </w:p>
  <w:bookmarkEnd w:id="2"/>
  <w:p w14:paraId="4C4DAA71" w14:textId="77777777" w:rsidR="007146FC" w:rsidRDefault="00714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FE369" w14:textId="77777777" w:rsidR="007146FC" w:rsidRDefault="007146FC" w:rsidP="007146FC">
    <w:pPr>
      <w:pStyle w:val="Header"/>
      <w:jc w:val="right"/>
    </w:pPr>
    <w:bookmarkStart w:id="3" w:name="TITUS1HeaderPrimary"/>
    <w:r>
      <w:t xml:space="preserve"> </w:t>
    </w:r>
  </w:p>
  <w:bookmarkEnd w:id="3"/>
  <w:p w14:paraId="5D84360B" w14:textId="77777777" w:rsidR="007146FC" w:rsidRDefault="00714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666"/>
    <w:multiLevelType w:val="hybridMultilevel"/>
    <w:tmpl w:val="82BAA1F8"/>
    <w:lvl w:ilvl="0" w:tplc="10A84222">
      <w:start w:val="1"/>
      <w:numFmt w:val="decimal"/>
      <w:pStyle w:val="Punct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36E4241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758F"/>
    <w:multiLevelType w:val="hybridMultilevel"/>
    <w:tmpl w:val="0C440554"/>
    <w:lvl w:ilvl="0" w:tplc="33640E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6706"/>
    <w:multiLevelType w:val="hybridMultilevel"/>
    <w:tmpl w:val="80BA032A"/>
    <w:lvl w:ilvl="0" w:tplc="0818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3000" w:hanging="360"/>
      </w:pPr>
    </w:lvl>
    <w:lvl w:ilvl="2" w:tplc="0818001B" w:tentative="1">
      <w:start w:val="1"/>
      <w:numFmt w:val="lowerRoman"/>
      <w:lvlText w:val="%3."/>
      <w:lvlJc w:val="right"/>
      <w:pPr>
        <w:ind w:left="3720" w:hanging="180"/>
      </w:pPr>
    </w:lvl>
    <w:lvl w:ilvl="3" w:tplc="0818000F" w:tentative="1">
      <w:start w:val="1"/>
      <w:numFmt w:val="decimal"/>
      <w:lvlText w:val="%4."/>
      <w:lvlJc w:val="left"/>
      <w:pPr>
        <w:ind w:left="4440" w:hanging="360"/>
      </w:pPr>
    </w:lvl>
    <w:lvl w:ilvl="4" w:tplc="08180019" w:tentative="1">
      <w:start w:val="1"/>
      <w:numFmt w:val="lowerLetter"/>
      <w:lvlText w:val="%5."/>
      <w:lvlJc w:val="left"/>
      <w:pPr>
        <w:ind w:left="5160" w:hanging="360"/>
      </w:pPr>
    </w:lvl>
    <w:lvl w:ilvl="5" w:tplc="0818001B" w:tentative="1">
      <w:start w:val="1"/>
      <w:numFmt w:val="lowerRoman"/>
      <w:lvlText w:val="%6."/>
      <w:lvlJc w:val="right"/>
      <w:pPr>
        <w:ind w:left="5880" w:hanging="180"/>
      </w:pPr>
    </w:lvl>
    <w:lvl w:ilvl="6" w:tplc="0818000F" w:tentative="1">
      <w:start w:val="1"/>
      <w:numFmt w:val="decimal"/>
      <w:lvlText w:val="%7."/>
      <w:lvlJc w:val="left"/>
      <w:pPr>
        <w:ind w:left="6600" w:hanging="360"/>
      </w:pPr>
    </w:lvl>
    <w:lvl w:ilvl="7" w:tplc="08180019" w:tentative="1">
      <w:start w:val="1"/>
      <w:numFmt w:val="lowerLetter"/>
      <w:lvlText w:val="%8."/>
      <w:lvlJc w:val="left"/>
      <w:pPr>
        <w:ind w:left="7320" w:hanging="360"/>
      </w:pPr>
    </w:lvl>
    <w:lvl w:ilvl="8" w:tplc="0818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EED04B5"/>
    <w:multiLevelType w:val="hybridMultilevel"/>
    <w:tmpl w:val="E04C6E66"/>
    <w:lvl w:ilvl="0" w:tplc="FA4CE8CE">
      <w:start w:val="1"/>
      <w:numFmt w:val="decimal"/>
      <w:lvlText w:val="%1."/>
      <w:lvlJc w:val="left"/>
      <w:pPr>
        <w:ind w:left="720" w:hanging="360"/>
      </w:pPr>
      <w:rPr>
        <w:rFonts w:ascii="PermianSerifTypeface" w:hAnsi="PermianSerifTypefac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F2B41"/>
    <w:multiLevelType w:val="hybridMultilevel"/>
    <w:tmpl w:val="14AEB57C"/>
    <w:lvl w:ilvl="0" w:tplc="DD0CBE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761D3E"/>
    <w:multiLevelType w:val="hybridMultilevel"/>
    <w:tmpl w:val="D1C06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071CE"/>
    <w:multiLevelType w:val="hybridMultilevel"/>
    <w:tmpl w:val="04EE9C2A"/>
    <w:lvl w:ilvl="0" w:tplc="00A88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D63FF"/>
    <w:multiLevelType w:val="hybridMultilevel"/>
    <w:tmpl w:val="7B6C666A"/>
    <w:lvl w:ilvl="0" w:tplc="6AB4E34A">
      <w:start w:val="1"/>
      <w:numFmt w:val="decimal"/>
      <w:lvlText w:val="%1."/>
      <w:lvlJc w:val="left"/>
      <w:pPr>
        <w:ind w:left="720" w:hanging="360"/>
      </w:pPr>
      <w:rPr>
        <w:rFonts w:ascii="PermianSerifTypeface" w:hAnsi="PermianSerifTypeface"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17CF2"/>
    <w:multiLevelType w:val="hybridMultilevel"/>
    <w:tmpl w:val="60A2AC04"/>
    <w:lvl w:ilvl="0" w:tplc="F9CA5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CC5972"/>
    <w:multiLevelType w:val="hybridMultilevel"/>
    <w:tmpl w:val="F408A226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302E2"/>
    <w:multiLevelType w:val="hybridMultilevel"/>
    <w:tmpl w:val="702E327C"/>
    <w:lvl w:ilvl="0" w:tplc="08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AB2419"/>
    <w:multiLevelType w:val="hybridMultilevel"/>
    <w:tmpl w:val="FED84FD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2534E"/>
    <w:multiLevelType w:val="hybridMultilevel"/>
    <w:tmpl w:val="99C83564"/>
    <w:lvl w:ilvl="0" w:tplc="A2368E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B60FC"/>
    <w:multiLevelType w:val="hybridMultilevel"/>
    <w:tmpl w:val="E930556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39A8"/>
    <w:multiLevelType w:val="hybridMultilevel"/>
    <w:tmpl w:val="81D2E092"/>
    <w:lvl w:ilvl="0" w:tplc="2A80C3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A6161B"/>
    <w:multiLevelType w:val="hybridMultilevel"/>
    <w:tmpl w:val="106C52C2"/>
    <w:lvl w:ilvl="0" w:tplc="0D56FF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76A692E"/>
    <w:multiLevelType w:val="hybridMultilevel"/>
    <w:tmpl w:val="BC64D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33BB3"/>
    <w:multiLevelType w:val="hybridMultilevel"/>
    <w:tmpl w:val="F2F67AA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2191E"/>
    <w:multiLevelType w:val="hybridMultilevel"/>
    <w:tmpl w:val="A2A6659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4"/>
  </w:num>
  <w:num w:numId="6">
    <w:abstractNumId w:val="15"/>
  </w:num>
  <w:num w:numId="7">
    <w:abstractNumId w:val="4"/>
  </w:num>
  <w:num w:numId="8">
    <w:abstractNumId w:val="1"/>
  </w:num>
  <w:num w:numId="9">
    <w:abstractNumId w:val="16"/>
  </w:num>
  <w:num w:numId="10">
    <w:abstractNumId w:val="11"/>
  </w:num>
  <w:num w:numId="11">
    <w:abstractNumId w:val="17"/>
  </w:num>
  <w:num w:numId="12">
    <w:abstractNumId w:val="12"/>
  </w:num>
  <w:num w:numId="13">
    <w:abstractNumId w:val="8"/>
  </w:num>
  <w:num w:numId="14">
    <w:abstractNumId w:val="10"/>
  </w:num>
  <w:num w:numId="15">
    <w:abstractNumId w:val="6"/>
  </w:num>
  <w:num w:numId="16">
    <w:abstractNumId w:val="13"/>
  </w:num>
  <w:num w:numId="17">
    <w:abstractNumId w:val="2"/>
  </w:num>
  <w:num w:numId="18">
    <w:abstractNumId w:val="0"/>
    <w:lvlOverride w:ilvl="0">
      <w:startOverride w:val="1"/>
    </w:lvlOverride>
  </w:num>
  <w:num w:numId="19">
    <w:abstractNumId w:val="9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NotTrackFormatting/>
  <w:defaultTabStop w:val="720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50"/>
    <w:rsid w:val="000105DD"/>
    <w:rsid w:val="0001656B"/>
    <w:rsid w:val="00020786"/>
    <w:rsid w:val="000330AD"/>
    <w:rsid w:val="00035EBC"/>
    <w:rsid w:val="00057802"/>
    <w:rsid w:val="000664D1"/>
    <w:rsid w:val="000671AC"/>
    <w:rsid w:val="00081E4C"/>
    <w:rsid w:val="0009459E"/>
    <w:rsid w:val="000A086F"/>
    <w:rsid w:val="000A1C5B"/>
    <w:rsid w:val="000A51A1"/>
    <w:rsid w:val="000B27BA"/>
    <w:rsid w:val="000C25C9"/>
    <w:rsid w:val="000C3D12"/>
    <w:rsid w:val="000C4377"/>
    <w:rsid w:val="000D6D94"/>
    <w:rsid w:val="000E19B1"/>
    <w:rsid w:val="000E1B10"/>
    <w:rsid w:val="000E2706"/>
    <w:rsid w:val="000F2145"/>
    <w:rsid w:val="00100BC8"/>
    <w:rsid w:val="00115E2B"/>
    <w:rsid w:val="00121DD5"/>
    <w:rsid w:val="0013376C"/>
    <w:rsid w:val="00144F8B"/>
    <w:rsid w:val="00154A71"/>
    <w:rsid w:val="00155142"/>
    <w:rsid w:val="001722D1"/>
    <w:rsid w:val="001725A7"/>
    <w:rsid w:val="001777B1"/>
    <w:rsid w:val="001A4C40"/>
    <w:rsid w:val="001B20C5"/>
    <w:rsid w:val="001B3663"/>
    <w:rsid w:val="001E066E"/>
    <w:rsid w:val="0020753D"/>
    <w:rsid w:val="00214892"/>
    <w:rsid w:val="002304B2"/>
    <w:rsid w:val="00230530"/>
    <w:rsid w:val="0023545D"/>
    <w:rsid w:val="00275704"/>
    <w:rsid w:val="002772C0"/>
    <w:rsid w:val="00277CAC"/>
    <w:rsid w:val="002963C4"/>
    <w:rsid w:val="002A54BC"/>
    <w:rsid w:val="002C0DFC"/>
    <w:rsid w:val="002C30BD"/>
    <w:rsid w:val="002C3399"/>
    <w:rsid w:val="002C4B29"/>
    <w:rsid w:val="002D52C4"/>
    <w:rsid w:val="002E1019"/>
    <w:rsid w:val="002E3805"/>
    <w:rsid w:val="002E74D2"/>
    <w:rsid w:val="002F7646"/>
    <w:rsid w:val="0030070A"/>
    <w:rsid w:val="00320BD3"/>
    <w:rsid w:val="00321DA8"/>
    <w:rsid w:val="00325C00"/>
    <w:rsid w:val="00335AE4"/>
    <w:rsid w:val="0035118B"/>
    <w:rsid w:val="003536EB"/>
    <w:rsid w:val="003577C8"/>
    <w:rsid w:val="00370307"/>
    <w:rsid w:val="003706D5"/>
    <w:rsid w:val="00390168"/>
    <w:rsid w:val="003B27F8"/>
    <w:rsid w:val="003C5547"/>
    <w:rsid w:val="003D00FB"/>
    <w:rsid w:val="003D1DAE"/>
    <w:rsid w:val="003D773D"/>
    <w:rsid w:val="003E08CA"/>
    <w:rsid w:val="003E1077"/>
    <w:rsid w:val="00407254"/>
    <w:rsid w:val="004077CC"/>
    <w:rsid w:val="00416017"/>
    <w:rsid w:val="00417176"/>
    <w:rsid w:val="00417F1C"/>
    <w:rsid w:val="00426735"/>
    <w:rsid w:val="00430FF1"/>
    <w:rsid w:val="00446199"/>
    <w:rsid w:val="004514F8"/>
    <w:rsid w:val="0046312A"/>
    <w:rsid w:val="00473774"/>
    <w:rsid w:val="0049407D"/>
    <w:rsid w:val="004B0F09"/>
    <w:rsid w:val="004B2900"/>
    <w:rsid w:val="004B3163"/>
    <w:rsid w:val="004B6C10"/>
    <w:rsid w:val="004E6B14"/>
    <w:rsid w:val="0050185E"/>
    <w:rsid w:val="005119EC"/>
    <w:rsid w:val="00515F88"/>
    <w:rsid w:val="00525CC5"/>
    <w:rsid w:val="00531BF2"/>
    <w:rsid w:val="005329A1"/>
    <w:rsid w:val="00545F6E"/>
    <w:rsid w:val="005535F1"/>
    <w:rsid w:val="00554EFF"/>
    <w:rsid w:val="005728FF"/>
    <w:rsid w:val="00591D9B"/>
    <w:rsid w:val="0059535F"/>
    <w:rsid w:val="005A32B9"/>
    <w:rsid w:val="005B7FD9"/>
    <w:rsid w:val="005C15C2"/>
    <w:rsid w:val="005C1691"/>
    <w:rsid w:val="005C6877"/>
    <w:rsid w:val="005D118E"/>
    <w:rsid w:val="005D7572"/>
    <w:rsid w:val="0060756E"/>
    <w:rsid w:val="00613DF6"/>
    <w:rsid w:val="00645F31"/>
    <w:rsid w:val="00647145"/>
    <w:rsid w:val="0065729E"/>
    <w:rsid w:val="00667D9B"/>
    <w:rsid w:val="00672D67"/>
    <w:rsid w:val="006743F0"/>
    <w:rsid w:val="0067511F"/>
    <w:rsid w:val="00675A79"/>
    <w:rsid w:val="0067636D"/>
    <w:rsid w:val="00677F0F"/>
    <w:rsid w:val="0068403E"/>
    <w:rsid w:val="00695235"/>
    <w:rsid w:val="006A1AC6"/>
    <w:rsid w:val="006B241D"/>
    <w:rsid w:val="006B5379"/>
    <w:rsid w:val="006B5E7E"/>
    <w:rsid w:val="006B75D8"/>
    <w:rsid w:val="006C4043"/>
    <w:rsid w:val="006C694B"/>
    <w:rsid w:val="006D207F"/>
    <w:rsid w:val="006D2AC4"/>
    <w:rsid w:val="006F7311"/>
    <w:rsid w:val="00705A03"/>
    <w:rsid w:val="007146FC"/>
    <w:rsid w:val="007225BA"/>
    <w:rsid w:val="00726DC1"/>
    <w:rsid w:val="007306C3"/>
    <w:rsid w:val="00730B6A"/>
    <w:rsid w:val="00737415"/>
    <w:rsid w:val="00743BD0"/>
    <w:rsid w:val="00760591"/>
    <w:rsid w:val="007A309D"/>
    <w:rsid w:val="007A3728"/>
    <w:rsid w:val="007A4DB9"/>
    <w:rsid w:val="007B7A3A"/>
    <w:rsid w:val="007C1564"/>
    <w:rsid w:val="007C4732"/>
    <w:rsid w:val="007D180F"/>
    <w:rsid w:val="007E29D3"/>
    <w:rsid w:val="007E6799"/>
    <w:rsid w:val="007F2142"/>
    <w:rsid w:val="00800577"/>
    <w:rsid w:val="0080163A"/>
    <w:rsid w:val="00803D36"/>
    <w:rsid w:val="00807324"/>
    <w:rsid w:val="00807CDD"/>
    <w:rsid w:val="0081327C"/>
    <w:rsid w:val="00814F8B"/>
    <w:rsid w:val="00831E86"/>
    <w:rsid w:val="00841DFE"/>
    <w:rsid w:val="008435A6"/>
    <w:rsid w:val="00853E7D"/>
    <w:rsid w:val="0087614B"/>
    <w:rsid w:val="00881468"/>
    <w:rsid w:val="008914B4"/>
    <w:rsid w:val="008931DC"/>
    <w:rsid w:val="008A5067"/>
    <w:rsid w:val="008B0863"/>
    <w:rsid w:val="008B247C"/>
    <w:rsid w:val="008B5A50"/>
    <w:rsid w:val="008C0950"/>
    <w:rsid w:val="008D0341"/>
    <w:rsid w:val="008D2C15"/>
    <w:rsid w:val="008E0D2D"/>
    <w:rsid w:val="008E2FA6"/>
    <w:rsid w:val="008E7890"/>
    <w:rsid w:val="008F231A"/>
    <w:rsid w:val="00904F14"/>
    <w:rsid w:val="009223EB"/>
    <w:rsid w:val="009341C9"/>
    <w:rsid w:val="00951B1B"/>
    <w:rsid w:val="0096259E"/>
    <w:rsid w:val="00967D70"/>
    <w:rsid w:val="00971C8C"/>
    <w:rsid w:val="00973B6B"/>
    <w:rsid w:val="00975834"/>
    <w:rsid w:val="0098280B"/>
    <w:rsid w:val="00987E80"/>
    <w:rsid w:val="00996863"/>
    <w:rsid w:val="009A4B63"/>
    <w:rsid w:val="009A57FF"/>
    <w:rsid w:val="009A64A7"/>
    <w:rsid w:val="009B0A9D"/>
    <w:rsid w:val="009C2CDD"/>
    <w:rsid w:val="009D0232"/>
    <w:rsid w:val="009D3555"/>
    <w:rsid w:val="009E58BE"/>
    <w:rsid w:val="009F015C"/>
    <w:rsid w:val="00A00C84"/>
    <w:rsid w:val="00A011B3"/>
    <w:rsid w:val="00A10066"/>
    <w:rsid w:val="00A10784"/>
    <w:rsid w:val="00A357A5"/>
    <w:rsid w:val="00A473EC"/>
    <w:rsid w:val="00A56270"/>
    <w:rsid w:val="00A5744A"/>
    <w:rsid w:val="00A57EA1"/>
    <w:rsid w:val="00A74628"/>
    <w:rsid w:val="00A822CB"/>
    <w:rsid w:val="00A85CBC"/>
    <w:rsid w:val="00A94F54"/>
    <w:rsid w:val="00A94F81"/>
    <w:rsid w:val="00A950C7"/>
    <w:rsid w:val="00A96EF4"/>
    <w:rsid w:val="00AB700D"/>
    <w:rsid w:val="00AF5A2C"/>
    <w:rsid w:val="00B01065"/>
    <w:rsid w:val="00B03BAE"/>
    <w:rsid w:val="00B05051"/>
    <w:rsid w:val="00B05BD3"/>
    <w:rsid w:val="00B13415"/>
    <w:rsid w:val="00B23B3A"/>
    <w:rsid w:val="00B25223"/>
    <w:rsid w:val="00B35CAB"/>
    <w:rsid w:val="00B4241B"/>
    <w:rsid w:val="00B43EAF"/>
    <w:rsid w:val="00B51555"/>
    <w:rsid w:val="00B570D9"/>
    <w:rsid w:val="00B577AE"/>
    <w:rsid w:val="00B722FA"/>
    <w:rsid w:val="00B72F5F"/>
    <w:rsid w:val="00B95A40"/>
    <w:rsid w:val="00B968DE"/>
    <w:rsid w:val="00B97650"/>
    <w:rsid w:val="00BB120E"/>
    <w:rsid w:val="00BB55C2"/>
    <w:rsid w:val="00BC29DE"/>
    <w:rsid w:val="00BD2944"/>
    <w:rsid w:val="00BD5C8F"/>
    <w:rsid w:val="00BD64E9"/>
    <w:rsid w:val="00BE1AE6"/>
    <w:rsid w:val="00BE4852"/>
    <w:rsid w:val="00BE582E"/>
    <w:rsid w:val="00C01FBE"/>
    <w:rsid w:val="00C30969"/>
    <w:rsid w:val="00C3158E"/>
    <w:rsid w:val="00C32A13"/>
    <w:rsid w:val="00C40F38"/>
    <w:rsid w:val="00C422F2"/>
    <w:rsid w:val="00C528C7"/>
    <w:rsid w:val="00C73A54"/>
    <w:rsid w:val="00C76915"/>
    <w:rsid w:val="00C8174D"/>
    <w:rsid w:val="00C945C7"/>
    <w:rsid w:val="00CA4A5E"/>
    <w:rsid w:val="00CB754F"/>
    <w:rsid w:val="00CC0937"/>
    <w:rsid w:val="00CC31B8"/>
    <w:rsid w:val="00CC3DBD"/>
    <w:rsid w:val="00CC4994"/>
    <w:rsid w:val="00CD30C9"/>
    <w:rsid w:val="00CE4056"/>
    <w:rsid w:val="00CF2EF5"/>
    <w:rsid w:val="00D06FD8"/>
    <w:rsid w:val="00D21CDA"/>
    <w:rsid w:val="00D27EE8"/>
    <w:rsid w:val="00D30C7F"/>
    <w:rsid w:val="00D415D4"/>
    <w:rsid w:val="00D4598F"/>
    <w:rsid w:val="00D55DAF"/>
    <w:rsid w:val="00D643C3"/>
    <w:rsid w:val="00D73FC8"/>
    <w:rsid w:val="00D77762"/>
    <w:rsid w:val="00D80C5C"/>
    <w:rsid w:val="00D8468B"/>
    <w:rsid w:val="00D87AEA"/>
    <w:rsid w:val="00D95305"/>
    <w:rsid w:val="00D961F0"/>
    <w:rsid w:val="00DA652B"/>
    <w:rsid w:val="00DB66DA"/>
    <w:rsid w:val="00DC4A60"/>
    <w:rsid w:val="00DD13F1"/>
    <w:rsid w:val="00DE0461"/>
    <w:rsid w:val="00DE6123"/>
    <w:rsid w:val="00DF6042"/>
    <w:rsid w:val="00E039EB"/>
    <w:rsid w:val="00E050FD"/>
    <w:rsid w:val="00E11F0B"/>
    <w:rsid w:val="00E135DB"/>
    <w:rsid w:val="00E26ABB"/>
    <w:rsid w:val="00E275FA"/>
    <w:rsid w:val="00E42A0F"/>
    <w:rsid w:val="00E43C9C"/>
    <w:rsid w:val="00E66B8E"/>
    <w:rsid w:val="00E67FE7"/>
    <w:rsid w:val="00E70F7D"/>
    <w:rsid w:val="00E73581"/>
    <w:rsid w:val="00E80DAF"/>
    <w:rsid w:val="00E82C21"/>
    <w:rsid w:val="00E86960"/>
    <w:rsid w:val="00E871C8"/>
    <w:rsid w:val="00E90015"/>
    <w:rsid w:val="00E920D6"/>
    <w:rsid w:val="00E945D6"/>
    <w:rsid w:val="00E946C6"/>
    <w:rsid w:val="00E9594B"/>
    <w:rsid w:val="00E97FC4"/>
    <w:rsid w:val="00EB5451"/>
    <w:rsid w:val="00EB5ACB"/>
    <w:rsid w:val="00EB770C"/>
    <w:rsid w:val="00EC4419"/>
    <w:rsid w:val="00ED511B"/>
    <w:rsid w:val="00F14442"/>
    <w:rsid w:val="00F147E3"/>
    <w:rsid w:val="00F23225"/>
    <w:rsid w:val="00F260DA"/>
    <w:rsid w:val="00F351B3"/>
    <w:rsid w:val="00F3753C"/>
    <w:rsid w:val="00F412FC"/>
    <w:rsid w:val="00F414BA"/>
    <w:rsid w:val="00F44986"/>
    <w:rsid w:val="00F6210A"/>
    <w:rsid w:val="00F679D7"/>
    <w:rsid w:val="00F70506"/>
    <w:rsid w:val="00F71140"/>
    <w:rsid w:val="00F72E23"/>
    <w:rsid w:val="00FA2001"/>
    <w:rsid w:val="00FA26A4"/>
    <w:rsid w:val="00FA75C2"/>
    <w:rsid w:val="00FB120F"/>
    <w:rsid w:val="00FB42F1"/>
    <w:rsid w:val="00FB560A"/>
    <w:rsid w:val="00FC0EC9"/>
    <w:rsid w:val="00FC3E99"/>
    <w:rsid w:val="00FC6AC0"/>
    <w:rsid w:val="00FD3BA9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2AE887"/>
  <w15:chartTrackingRefBased/>
  <w15:docId w15:val="{8C8245A4-AAE1-4AA8-914A-42D4E02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3DBD"/>
    <w:pPr>
      <w:ind w:left="720"/>
      <w:contextualSpacing/>
    </w:pPr>
  </w:style>
  <w:style w:type="character" w:customStyle="1" w:styleId="2">
    <w:name w:val="Основной текст (2)_"/>
    <w:link w:val="20"/>
    <w:rsid w:val="00CC3DBD"/>
    <w:rPr>
      <w:rFonts w:ascii="Arial" w:hAnsi="Arial"/>
      <w:b/>
      <w:bCs/>
      <w:shd w:val="clear" w:color="auto" w:fill="FFFFFF"/>
    </w:rPr>
  </w:style>
  <w:style w:type="character" w:customStyle="1" w:styleId="1">
    <w:name w:val="Заголовок №1_"/>
    <w:link w:val="10"/>
    <w:rsid w:val="00CC3DBD"/>
    <w:rPr>
      <w:rFonts w:ascii="Arial" w:hAnsi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C3DBD"/>
    <w:pPr>
      <w:widowControl w:val="0"/>
      <w:shd w:val="clear" w:color="auto" w:fill="FFFFFF"/>
      <w:spacing w:after="0" w:line="274" w:lineRule="exact"/>
    </w:pPr>
    <w:rPr>
      <w:rFonts w:ascii="Arial" w:hAnsi="Arial"/>
      <w:b/>
      <w:bCs/>
    </w:rPr>
  </w:style>
  <w:style w:type="paragraph" w:customStyle="1" w:styleId="10">
    <w:name w:val="Заголовок №1"/>
    <w:basedOn w:val="Normal"/>
    <w:link w:val="1"/>
    <w:rsid w:val="00CC3DBD"/>
    <w:pPr>
      <w:widowControl w:val="0"/>
      <w:shd w:val="clear" w:color="auto" w:fill="FFFFFF"/>
      <w:spacing w:before="240" w:after="0" w:line="240" w:lineRule="atLeast"/>
      <w:outlineLvl w:val="0"/>
    </w:pPr>
    <w:rPr>
      <w:rFonts w:ascii="Arial" w:hAnsi="Arial"/>
      <w:sz w:val="26"/>
      <w:szCs w:val="26"/>
    </w:rPr>
  </w:style>
  <w:style w:type="paragraph" w:styleId="BodyText2">
    <w:name w:val="Body Text 2"/>
    <w:basedOn w:val="Normal"/>
    <w:link w:val="BodyText2Char"/>
    <w:rsid w:val="00CC3DBD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BodyText2Char">
    <w:name w:val="Body Text 2 Char"/>
    <w:basedOn w:val="DefaultParagraphFont"/>
    <w:link w:val="BodyText2"/>
    <w:rsid w:val="00CC3DBD"/>
    <w:rPr>
      <w:rFonts w:ascii="Times New Roman" w:eastAsia="Times New Roman" w:hAnsi="Times New Roman" w:cs="Times New Roman"/>
      <w:bCs/>
      <w:sz w:val="28"/>
      <w:szCs w:val="28"/>
      <w:lang w:val="ro-RO"/>
    </w:rPr>
  </w:style>
  <w:style w:type="paragraph" w:customStyle="1" w:styleId="Punct">
    <w:name w:val="Punct"/>
    <w:basedOn w:val="ListParagraph"/>
    <w:link w:val="PunctChar"/>
    <w:qFormat/>
    <w:rsid w:val="00CC3DBD"/>
    <w:pPr>
      <w:keepNext/>
      <w:keepLines/>
      <w:widowControl w:val="0"/>
      <w:numPr>
        <w:numId w:val="1"/>
      </w:numPr>
      <w:tabs>
        <w:tab w:val="left" w:pos="1134"/>
      </w:tabs>
      <w:spacing w:before="120" w:after="0" w:line="240" w:lineRule="auto"/>
      <w:contextualSpacing w:val="0"/>
      <w:jc w:val="both"/>
      <w:outlineLvl w:val="0"/>
    </w:pPr>
    <w:rPr>
      <w:rFonts w:ascii="Times New Roman" w:hAnsi="Times New Roman" w:cs="Times New Roman"/>
      <w:lang w:val="ro-M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3DBD"/>
  </w:style>
  <w:style w:type="character" w:customStyle="1" w:styleId="PunctChar">
    <w:name w:val="Punct Char"/>
    <w:basedOn w:val="ListParagraphChar"/>
    <w:link w:val="Punct"/>
    <w:rsid w:val="00CC3DBD"/>
    <w:rPr>
      <w:rFonts w:ascii="Times New Roman" w:hAnsi="Times New Roman" w:cs="Times New Roman"/>
      <w:lang w:val="ro-MD"/>
    </w:rPr>
  </w:style>
  <w:style w:type="paragraph" w:styleId="NormalWeb">
    <w:name w:val="Normal (Web)"/>
    <w:basedOn w:val="Normal"/>
    <w:uiPriority w:val="99"/>
    <w:unhideWhenUsed/>
    <w:rsid w:val="00CC3D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46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6FC"/>
  </w:style>
  <w:style w:type="paragraph" w:styleId="Footer">
    <w:name w:val="footer"/>
    <w:basedOn w:val="Normal"/>
    <w:link w:val="FooterChar"/>
    <w:uiPriority w:val="99"/>
    <w:unhideWhenUsed/>
    <w:rsid w:val="007146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6FC"/>
  </w:style>
  <w:style w:type="paragraph" w:styleId="FootnoteText">
    <w:name w:val="footnote text"/>
    <w:basedOn w:val="Normal"/>
    <w:link w:val="FootnoteTextChar"/>
    <w:uiPriority w:val="99"/>
    <w:unhideWhenUsed/>
    <w:rsid w:val="003511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1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7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E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E08CA"/>
    <w:rPr>
      <w:vertAlign w:val="superscript"/>
    </w:rPr>
  </w:style>
  <w:style w:type="paragraph" w:styleId="Revision">
    <w:name w:val="Revision"/>
    <w:hidden/>
    <w:uiPriority w:val="99"/>
    <w:semiHidden/>
    <w:rsid w:val="00BE4852"/>
    <w:pPr>
      <w:spacing w:after="0" w:line="240" w:lineRule="auto"/>
    </w:pPr>
  </w:style>
  <w:style w:type="paragraph" w:styleId="NoSpacing">
    <w:name w:val="No Spacing"/>
    <w:uiPriority w:val="1"/>
    <w:qFormat/>
    <w:rsid w:val="005C687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337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37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37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537E-2D96-4825-85DA-5FEC3F7E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2023-12-29T14:36:00Z</cp:lastPrinted>
  <dcterms:created xsi:type="dcterms:W3CDTF">2023-12-29T14:36:00Z</dcterms:created>
  <dcterms:modified xsi:type="dcterms:W3CDTF">2023-12-29T14:36:00Z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7fb7c71b-918f-425f-9afe-94791d81c0a9</vt:lpwstr>
  </property>
  <property fmtid="{D5CDD505-2E9C-101B-9397-08002B2CF9AE}" pid="3" name="Clasificare">
    <vt:lpwstr>NONE</vt:lpwstr>
  </property>
</Properties>
</file>